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DB45E" w14:textId="5D8345AB" w:rsidR="00CC1227" w:rsidRDefault="00B05B99">
      <w:pPr>
        <w:spacing w:line="480" w:lineRule="exact"/>
        <w:ind w:leftChars="-28" w:left="8" w:rightChars="-94" w:right="-197" w:hangingChars="21" w:hanging="67"/>
        <w:rPr>
          <w:rFonts w:ascii="黑体" w:eastAsia="黑体" w:hAnsi="黑体"/>
          <w:kern w:val="0"/>
          <w:sz w:val="32"/>
          <w:szCs w:val="32"/>
        </w:rPr>
      </w:pPr>
      <w:r w:rsidRPr="00591C9B">
        <w:rPr>
          <w:rFonts w:ascii="黑体" w:eastAsia="黑体" w:hAnsi="黑体" w:hint="eastAsia"/>
          <w:kern w:val="0"/>
          <w:sz w:val="32"/>
          <w:szCs w:val="32"/>
        </w:rPr>
        <w:t>附件1</w:t>
      </w:r>
    </w:p>
    <w:p w14:paraId="1014887E" w14:textId="77777777" w:rsidR="00FF4832" w:rsidRPr="00591C9B" w:rsidRDefault="00FF4832">
      <w:pPr>
        <w:spacing w:line="480" w:lineRule="exact"/>
        <w:ind w:leftChars="-28" w:left="10" w:rightChars="-94" w:right="-197" w:hangingChars="21" w:hanging="69"/>
        <w:rPr>
          <w:rStyle w:val="a3"/>
          <w:rFonts w:ascii="黑体" w:eastAsia="黑体" w:hAnsi="黑体" w:cs="仿宋"/>
          <w:color w:val="191919"/>
          <w:spacing w:val="4"/>
          <w:sz w:val="32"/>
          <w:szCs w:val="32"/>
          <w:shd w:val="clear" w:color="auto" w:fill="FFFFFF"/>
        </w:rPr>
      </w:pPr>
    </w:p>
    <w:p w14:paraId="417D2DC6" w14:textId="7EC4F54E" w:rsidR="00CC1227" w:rsidRDefault="00B05B99" w:rsidP="00B40B78">
      <w:pPr>
        <w:pStyle w:val="1"/>
        <w:widowControl/>
        <w:shd w:val="clear" w:color="auto" w:fill="FFFFFF"/>
        <w:adjustRightInd w:val="0"/>
        <w:snapToGrid w:val="0"/>
        <w:spacing w:beforeAutospacing="0" w:afterAutospacing="0"/>
        <w:jc w:val="center"/>
        <w:rPr>
          <w:rFonts w:ascii="方正小标宋简体" w:eastAsia="方正小标宋简体" w:cs="宋体" w:hint="default"/>
          <w:kern w:val="2"/>
          <w:sz w:val="44"/>
          <w:szCs w:val="44"/>
        </w:rPr>
      </w:pPr>
      <w:r>
        <w:rPr>
          <w:rFonts w:ascii="方正小标宋简体" w:eastAsia="方正小标宋简体" w:cs="宋体"/>
          <w:kern w:val="2"/>
          <w:sz w:val="44"/>
          <w:szCs w:val="44"/>
        </w:rPr>
        <w:t>关于促进服务业领域困难行业恢复发展的若干政策</w:t>
      </w:r>
    </w:p>
    <w:p w14:paraId="65039FA1" w14:textId="77777777" w:rsidR="00FF4832" w:rsidRPr="00FF4832" w:rsidRDefault="00FF4832" w:rsidP="00FF4832">
      <w:pPr>
        <w:rPr>
          <w:rFonts w:hint="eastAsia"/>
        </w:rPr>
      </w:pPr>
    </w:p>
    <w:p w14:paraId="5495E863" w14:textId="77777777" w:rsidR="00311CC6" w:rsidRPr="000266E4" w:rsidRDefault="007A5F50" w:rsidP="004313CD">
      <w:pPr>
        <w:jc w:val="center"/>
        <w:rPr>
          <w:rFonts w:ascii="仿宋" w:eastAsia="仿宋" w:hAnsi="仿宋" w:cs="仿宋"/>
          <w:sz w:val="32"/>
          <w:szCs w:val="32"/>
        </w:rPr>
      </w:pPr>
      <w:r w:rsidRPr="000266E4">
        <w:rPr>
          <w:rFonts w:ascii="仿宋" w:eastAsia="仿宋" w:hAnsi="仿宋" w:cs="仿宋" w:hint="eastAsia"/>
          <w:sz w:val="32"/>
          <w:szCs w:val="32"/>
        </w:rPr>
        <w:t>（</w:t>
      </w:r>
      <w:r w:rsidR="00B05B99" w:rsidRPr="000266E4">
        <w:rPr>
          <w:rFonts w:ascii="仿宋" w:eastAsia="仿宋" w:hAnsi="仿宋" w:cs="仿宋" w:hint="eastAsia"/>
          <w:sz w:val="32"/>
          <w:szCs w:val="32"/>
        </w:rPr>
        <w:t>国家发展改革委等14部门联合印发</w:t>
      </w:r>
    </w:p>
    <w:p w14:paraId="2084A113" w14:textId="0A28A6DB" w:rsidR="004313CD" w:rsidRPr="000266E4" w:rsidRDefault="00841750" w:rsidP="004313CD">
      <w:pPr>
        <w:jc w:val="center"/>
        <w:rPr>
          <w:rFonts w:ascii="仿宋" w:eastAsia="仿宋" w:hAnsi="仿宋" w:cs="仿宋"/>
          <w:sz w:val="32"/>
          <w:szCs w:val="32"/>
        </w:rPr>
      </w:pPr>
      <w:r w:rsidRPr="000266E4">
        <w:rPr>
          <w:rFonts w:ascii="仿宋" w:eastAsia="仿宋" w:hAnsi="仿宋" w:cs="仿宋" w:hint="eastAsia"/>
          <w:sz w:val="32"/>
          <w:szCs w:val="32"/>
        </w:rPr>
        <w:t>“</w:t>
      </w:r>
      <w:r w:rsidR="00B05B99" w:rsidRPr="000266E4">
        <w:rPr>
          <w:rFonts w:ascii="仿宋" w:eastAsia="仿宋" w:hAnsi="仿宋" w:cs="仿宋" w:hint="eastAsia"/>
          <w:sz w:val="32"/>
          <w:szCs w:val="32"/>
        </w:rPr>
        <w:t>发改财金〔2022〕271号</w:t>
      </w:r>
      <w:r w:rsidRPr="000266E4">
        <w:rPr>
          <w:rFonts w:ascii="仿宋" w:eastAsia="仿宋" w:hAnsi="仿宋" w:cs="仿宋" w:hint="eastAsia"/>
          <w:sz w:val="32"/>
          <w:szCs w:val="32"/>
        </w:rPr>
        <w:t>”</w:t>
      </w:r>
      <w:r w:rsidR="007A5F50" w:rsidRPr="000266E4">
        <w:rPr>
          <w:rFonts w:ascii="仿宋" w:eastAsia="仿宋" w:hAnsi="仿宋" w:cs="仿宋" w:hint="eastAsia"/>
          <w:sz w:val="32"/>
          <w:szCs w:val="32"/>
        </w:rPr>
        <w:t>）</w:t>
      </w:r>
    </w:p>
    <w:p w14:paraId="7A51E489" w14:textId="669C981E" w:rsidR="00CC1227" w:rsidRPr="00B9042E" w:rsidRDefault="00B05B99" w:rsidP="004313CD">
      <w:pPr>
        <w:ind w:firstLineChars="200" w:firstLine="640"/>
        <w:rPr>
          <w:rFonts w:ascii="仿宋" w:eastAsia="仿宋" w:hAnsi="仿宋" w:cs="仿宋"/>
          <w:sz w:val="32"/>
          <w:szCs w:val="32"/>
        </w:rPr>
      </w:pPr>
      <w:r w:rsidRPr="00B9042E">
        <w:rPr>
          <w:rFonts w:ascii="仿宋" w:eastAsia="仿宋" w:hAnsi="仿宋" w:cs="仿宋" w:hint="eastAsia"/>
          <w:sz w:val="32"/>
          <w:szCs w:val="32"/>
        </w:rPr>
        <w:t>按照党中央、国务院决策部署，为帮助服务业领域困难行业渡过难关、恢复发展，在落实好已经出台政策措施的基础上，经国务院同意，现提出以下助企</w:t>
      </w:r>
      <w:proofErr w:type="gramStart"/>
      <w:r w:rsidRPr="00B9042E">
        <w:rPr>
          <w:rFonts w:ascii="仿宋" w:eastAsia="仿宋" w:hAnsi="仿宋" w:cs="仿宋" w:hint="eastAsia"/>
          <w:sz w:val="32"/>
          <w:szCs w:val="32"/>
        </w:rPr>
        <w:t>纾</w:t>
      </w:r>
      <w:proofErr w:type="gramEnd"/>
      <w:r w:rsidRPr="00B9042E">
        <w:rPr>
          <w:rFonts w:ascii="仿宋" w:eastAsia="仿宋" w:hAnsi="仿宋" w:cs="仿宋" w:hint="eastAsia"/>
          <w:sz w:val="32"/>
          <w:szCs w:val="32"/>
        </w:rPr>
        <w:t>困扶持政策措施。</w:t>
      </w:r>
    </w:p>
    <w:p w14:paraId="32B95348" w14:textId="77777777" w:rsidR="00CC1227" w:rsidRPr="00B9042E" w:rsidRDefault="00B05B99" w:rsidP="00B9042E">
      <w:pPr>
        <w:pStyle w:val="4"/>
        <w:numPr>
          <w:ilvl w:val="0"/>
          <w:numId w:val="1"/>
        </w:numPr>
        <w:spacing w:before="0" w:after="0"/>
        <w:ind w:firstLineChars="200" w:firstLine="640"/>
        <w:rPr>
          <w:b w:val="0"/>
          <w:bCs/>
          <w:sz w:val="32"/>
          <w:szCs w:val="32"/>
        </w:rPr>
      </w:pPr>
      <w:r w:rsidRPr="00B9042E">
        <w:rPr>
          <w:rFonts w:hint="eastAsia"/>
          <w:b w:val="0"/>
          <w:bCs/>
          <w:sz w:val="32"/>
          <w:szCs w:val="32"/>
        </w:rPr>
        <w:t>服务业普惠性</w:t>
      </w:r>
      <w:proofErr w:type="gramStart"/>
      <w:r w:rsidRPr="00B9042E">
        <w:rPr>
          <w:rFonts w:hint="eastAsia"/>
          <w:b w:val="0"/>
          <w:bCs/>
          <w:sz w:val="32"/>
          <w:szCs w:val="32"/>
        </w:rPr>
        <w:t>纾</w:t>
      </w:r>
      <w:proofErr w:type="gramEnd"/>
      <w:r w:rsidRPr="00B9042E">
        <w:rPr>
          <w:rFonts w:hint="eastAsia"/>
          <w:b w:val="0"/>
          <w:bCs/>
          <w:sz w:val="32"/>
          <w:szCs w:val="32"/>
        </w:rPr>
        <w:t>困扶持措施</w:t>
      </w:r>
    </w:p>
    <w:p w14:paraId="0ABCC036"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1．延续服务业增值税加计抵减政策，2022年对生产、生活性服务业纳税人当期可抵扣进项税额继续分别按10%和15%加计抵减应纳税额。</w:t>
      </w:r>
    </w:p>
    <w:p w14:paraId="06267CEF"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2．2022年扩大“六税两费”适用范围，将省级人民政府在50%税额幅度内减征资源税、城市维护建设税、房产税、城镇土地使用税、印花税（不含证券交易印花税）、耕地占用税和教育费附加、地方教育附加等“六税两费”的适用主体，由增值税小规模纳税人扩展至小型微利企业和个体工商户。符合条件的服务业市场主体可以享受。</w:t>
      </w:r>
    </w:p>
    <w:p w14:paraId="0D93A1D6"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3．鼓励各地可根据条例授权和本地实际，2022 年对缴纳房产税、城镇土地使用税确有困难的纳税人给予减免。符合条件的服务业市场主体可以享受。</w:t>
      </w:r>
    </w:p>
    <w:p w14:paraId="73B44D61"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lastRenderedPageBreak/>
        <w:t>4．2022年加大中小</w:t>
      </w:r>
      <w:proofErr w:type="gramStart"/>
      <w:r w:rsidRPr="00B9042E">
        <w:rPr>
          <w:rFonts w:ascii="仿宋" w:eastAsia="仿宋" w:hAnsi="仿宋" w:cs="仿宋" w:hint="eastAsia"/>
          <w:sz w:val="32"/>
          <w:szCs w:val="32"/>
        </w:rPr>
        <w:t>微企业</w:t>
      </w:r>
      <w:proofErr w:type="gramEnd"/>
      <w:r w:rsidRPr="00B9042E">
        <w:rPr>
          <w:rFonts w:ascii="仿宋" w:eastAsia="仿宋" w:hAnsi="仿宋" w:cs="仿宋" w:hint="eastAsia"/>
          <w:sz w:val="32"/>
          <w:szCs w:val="32"/>
        </w:rPr>
        <w:t>设备器具税前扣除力度。中小</w:t>
      </w:r>
      <w:proofErr w:type="gramStart"/>
      <w:r w:rsidRPr="00B9042E">
        <w:rPr>
          <w:rFonts w:ascii="仿宋" w:eastAsia="仿宋" w:hAnsi="仿宋" w:cs="仿宋" w:hint="eastAsia"/>
          <w:sz w:val="32"/>
          <w:szCs w:val="32"/>
        </w:rPr>
        <w:t>微企业</w:t>
      </w:r>
      <w:proofErr w:type="gramEnd"/>
      <w:r w:rsidRPr="00B9042E">
        <w:rPr>
          <w:rFonts w:ascii="仿宋" w:eastAsia="仿宋" w:hAnsi="仿宋" w:cs="仿宋" w:hint="eastAsia"/>
          <w:sz w:val="32"/>
          <w:szCs w:val="32"/>
        </w:rPr>
        <w:t>2022 年度内新购置的单位价值500万元以上的设备器具，折旧年限为3年的可选择一次性税前扣除，折旧年限为4年、5年、10年的可减半扣除。企业可按季度享受优惠，当年不足扣除形成的亏损，可在以后5个纳税年度结转扣除。符合条件的服务业市场主体可以享受。</w:t>
      </w:r>
    </w:p>
    <w:p w14:paraId="67097CBE"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5．2022年延续实施阶段性降低失业保险、工伤保险费率政策。对不裁员、少裁员的企业继续实施普惠性失业</w:t>
      </w:r>
      <w:proofErr w:type="gramStart"/>
      <w:r w:rsidRPr="00B9042E">
        <w:rPr>
          <w:rFonts w:ascii="仿宋" w:eastAsia="仿宋" w:hAnsi="仿宋" w:cs="仿宋" w:hint="eastAsia"/>
          <w:sz w:val="32"/>
          <w:szCs w:val="32"/>
        </w:rPr>
        <w:t>保险稳岗</w:t>
      </w:r>
      <w:proofErr w:type="gramEnd"/>
      <w:r w:rsidRPr="00B9042E">
        <w:rPr>
          <w:rFonts w:ascii="仿宋" w:eastAsia="仿宋" w:hAnsi="仿宋" w:cs="仿宋" w:hint="eastAsia"/>
          <w:sz w:val="32"/>
          <w:szCs w:val="32"/>
        </w:rPr>
        <w:t>返还政策，在2022年度将中小</w:t>
      </w:r>
      <w:proofErr w:type="gramStart"/>
      <w:r w:rsidRPr="00B9042E">
        <w:rPr>
          <w:rFonts w:ascii="仿宋" w:eastAsia="仿宋" w:hAnsi="仿宋" w:cs="仿宋" w:hint="eastAsia"/>
          <w:sz w:val="32"/>
          <w:szCs w:val="32"/>
        </w:rPr>
        <w:t>微企业</w:t>
      </w:r>
      <w:proofErr w:type="gramEnd"/>
      <w:r w:rsidRPr="00B9042E">
        <w:rPr>
          <w:rFonts w:ascii="仿宋" w:eastAsia="仿宋" w:hAnsi="仿宋" w:cs="仿宋" w:hint="eastAsia"/>
          <w:sz w:val="32"/>
          <w:szCs w:val="32"/>
        </w:rPr>
        <w:t>返还比例从60%最高提至90%。符合条件的服务业市场主体可以享受。</w:t>
      </w:r>
    </w:p>
    <w:p w14:paraId="720384A0"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6．2022年被列为疫情中高风险地区所在的县级行政区域内的服务业小</w:t>
      </w:r>
      <w:proofErr w:type="gramStart"/>
      <w:r w:rsidRPr="00B9042E">
        <w:rPr>
          <w:rFonts w:ascii="仿宋" w:eastAsia="仿宋" w:hAnsi="仿宋" w:cs="仿宋" w:hint="eastAsia"/>
          <w:sz w:val="32"/>
          <w:szCs w:val="32"/>
        </w:rPr>
        <w:t>微企业</w:t>
      </w:r>
      <w:proofErr w:type="gramEnd"/>
      <w:r w:rsidRPr="00B9042E">
        <w:rPr>
          <w:rFonts w:ascii="仿宋" w:eastAsia="仿宋" w:hAnsi="仿宋" w:cs="仿宋" w:hint="eastAsia"/>
          <w:sz w:val="32"/>
          <w:szCs w:val="32"/>
        </w:rPr>
        <w:t>和个体工商户承租国有房屋，2022年减免6个月租金，其他地区减免 3个月租金。各地可统筹各类资金，对承租非国有房屋的服务业小</w:t>
      </w:r>
      <w:proofErr w:type="gramStart"/>
      <w:r w:rsidRPr="00B9042E">
        <w:rPr>
          <w:rFonts w:ascii="仿宋" w:eastAsia="仿宋" w:hAnsi="仿宋" w:cs="仿宋" w:hint="eastAsia"/>
          <w:sz w:val="32"/>
          <w:szCs w:val="32"/>
        </w:rPr>
        <w:t>微企业</w:t>
      </w:r>
      <w:proofErr w:type="gramEnd"/>
      <w:r w:rsidRPr="00B9042E">
        <w:rPr>
          <w:rFonts w:ascii="仿宋" w:eastAsia="仿宋" w:hAnsi="仿宋" w:cs="仿宋" w:hint="eastAsia"/>
          <w:sz w:val="32"/>
          <w:szCs w:val="32"/>
        </w:rPr>
        <w:t>和个体工商户给予适当帮扶。鼓励非国有房屋租赁主体在平等协商的基础上合理分担疫情带来的损失。对减免租金的房屋业主，2022年缴纳房产税、城镇土地使用税确有困难的，鼓励各地可根据条例授权和地方实际给予减免。因减免租金影响国有企事业单位业绩的，在考核中根据实际情况予以认可。</w:t>
      </w:r>
    </w:p>
    <w:p w14:paraId="0C03D4C8"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7．2022年引导银行用好2021年两次降低存款准备金率释放的2.2</w:t>
      </w:r>
      <w:proofErr w:type="gramStart"/>
      <w:r w:rsidRPr="00B9042E">
        <w:rPr>
          <w:rFonts w:ascii="仿宋" w:eastAsia="仿宋" w:hAnsi="仿宋" w:cs="仿宋" w:hint="eastAsia"/>
          <w:sz w:val="32"/>
          <w:szCs w:val="32"/>
        </w:rPr>
        <w:t>万亿</w:t>
      </w:r>
      <w:proofErr w:type="gramEnd"/>
      <w:r w:rsidRPr="00B9042E">
        <w:rPr>
          <w:rFonts w:ascii="仿宋" w:eastAsia="仿宋" w:hAnsi="仿宋" w:cs="仿宋" w:hint="eastAsia"/>
          <w:sz w:val="32"/>
          <w:szCs w:val="32"/>
        </w:rPr>
        <w:t>元资金，发挥好货币政策工具的总量和结构双重功能，优先支持困难行业特别是服务业小</w:t>
      </w:r>
      <w:proofErr w:type="gramStart"/>
      <w:r w:rsidRPr="00B9042E">
        <w:rPr>
          <w:rFonts w:ascii="仿宋" w:eastAsia="仿宋" w:hAnsi="仿宋" w:cs="仿宋" w:hint="eastAsia"/>
          <w:sz w:val="32"/>
          <w:szCs w:val="32"/>
        </w:rPr>
        <w:t>微企业</w:t>
      </w:r>
      <w:proofErr w:type="gramEnd"/>
      <w:r w:rsidRPr="00B9042E">
        <w:rPr>
          <w:rFonts w:ascii="仿宋" w:eastAsia="仿宋" w:hAnsi="仿宋" w:cs="仿宋" w:hint="eastAsia"/>
          <w:sz w:val="32"/>
          <w:szCs w:val="32"/>
        </w:rPr>
        <w:t>和民营</w:t>
      </w:r>
      <w:r w:rsidRPr="00B9042E">
        <w:rPr>
          <w:rFonts w:ascii="仿宋" w:eastAsia="仿宋" w:hAnsi="仿宋" w:cs="仿宋" w:hint="eastAsia"/>
          <w:sz w:val="32"/>
          <w:szCs w:val="32"/>
        </w:rPr>
        <w:lastRenderedPageBreak/>
        <w:t>企业。</w:t>
      </w:r>
    </w:p>
    <w:p w14:paraId="0A06AA71"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8．2022年发挥</w:t>
      </w:r>
      <w:proofErr w:type="gramStart"/>
      <w:r w:rsidRPr="00B9042E">
        <w:rPr>
          <w:rFonts w:ascii="仿宋" w:eastAsia="仿宋" w:hAnsi="仿宋" w:cs="仿宋" w:hint="eastAsia"/>
          <w:sz w:val="32"/>
          <w:szCs w:val="32"/>
        </w:rPr>
        <w:t>好支持</w:t>
      </w:r>
      <w:proofErr w:type="gramEnd"/>
      <w:r w:rsidRPr="00B9042E">
        <w:rPr>
          <w:rFonts w:ascii="仿宋" w:eastAsia="仿宋" w:hAnsi="仿宋" w:cs="仿宋" w:hint="eastAsia"/>
          <w:sz w:val="32"/>
          <w:szCs w:val="32"/>
        </w:rPr>
        <w:t>普惠小微的市场化工具引导作用，对地方法人银行普惠小</w:t>
      </w:r>
      <w:proofErr w:type="gramStart"/>
      <w:r w:rsidRPr="00B9042E">
        <w:rPr>
          <w:rFonts w:ascii="仿宋" w:eastAsia="仿宋" w:hAnsi="仿宋" w:cs="仿宋" w:hint="eastAsia"/>
          <w:sz w:val="32"/>
          <w:szCs w:val="32"/>
        </w:rPr>
        <w:t>微贷款</w:t>
      </w:r>
      <w:proofErr w:type="gramEnd"/>
      <w:r w:rsidRPr="00B9042E">
        <w:rPr>
          <w:rFonts w:ascii="仿宋" w:eastAsia="仿宋" w:hAnsi="仿宋" w:cs="仿宋" w:hint="eastAsia"/>
          <w:sz w:val="32"/>
          <w:szCs w:val="32"/>
        </w:rPr>
        <w:t>余额增量的1%提供激励资金，用好4000亿元再贷款滚动额度，引导金融机构加大对困难行业特别是服务业领域的倾斜力度。鼓励金融机构对符合续贷条件的服务业市场主体按正常续贷业务办理，不得盲目惜贷、抽贷、断贷、压贷，保持合理流动性。</w:t>
      </w:r>
    </w:p>
    <w:p w14:paraId="3CC563DA"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9．2022年继续推动金融系统减费让利，落实</w:t>
      </w:r>
      <w:proofErr w:type="gramStart"/>
      <w:r w:rsidRPr="00B9042E">
        <w:rPr>
          <w:rFonts w:ascii="仿宋" w:eastAsia="仿宋" w:hAnsi="仿宋" w:cs="仿宋" w:hint="eastAsia"/>
          <w:sz w:val="32"/>
          <w:szCs w:val="32"/>
        </w:rPr>
        <w:t>好贷款</w:t>
      </w:r>
      <w:proofErr w:type="gramEnd"/>
      <w:r w:rsidRPr="00B9042E">
        <w:rPr>
          <w:rFonts w:ascii="仿宋" w:eastAsia="仿宋" w:hAnsi="仿宋" w:cs="仿宋" w:hint="eastAsia"/>
          <w:sz w:val="32"/>
          <w:szCs w:val="32"/>
        </w:rPr>
        <w:t>市场报价利率（LPR）下行、支农</w:t>
      </w:r>
      <w:proofErr w:type="gramStart"/>
      <w:r w:rsidRPr="00B9042E">
        <w:rPr>
          <w:rFonts w:ascii="仿宋" w:eastAsia="仿宋" w:hAnsi="仿宋" w:cs="仿宋" w:hint="eastAsia"/>
          <w:sz w:val="32"/>
          <w:szCs w:val="32"/>
        </w:rPr>
        <w:t>支小再贷款</w:t>
      </w:r>
      <w:proofErr w:type="gramEnd"/>
      <w:r w:rsidRPr="00B9042E">
        <w:rPr>
          <w:rFonts w:ascii="仿宋" w:eastAsia="仿宋" w:hAnsi="仿宋" w:cs="仿宋" w:hint="eastAsia"/>
          <w:sz w:val="32"/>
          <w:szCs w:val="32"/>
        </w:rPr>
        <w:t>利率下调，推动实际贷款利率在前期大幅降低基础上继续下行，督促指导降低银行账户服务收费、人民币转账汇款手续费、银行卡刷卡手续费，减轻服务业小</w:t>
      </w:r>
      <w:proofErr w:type="gramStart"/>
      <w:r w:rsidRPr="00B9042E">
        <w:rPr>
          <w:rFonts w:ascii="仿宋" w:eastAsia="仿宋" w:hAnsi="仿宋" w:cs="仿宋" w:hint="eastAsia"/>
          <w:sz w:val="32"/>
          <w:szCs w:val="32"/>
        </w:rPr>
        <w:t>微企业</w:t>
      </w:r>
      <w:proofErr w:type="gramEnd"/>
      <w:r w:rsidRPr="00B9042E">
        <w:rPr>
          <w:rFonts w:ascii="仿宋" w:eastAsia="仿宋" w:hAnsi="仿宋" w:cs="仿宋" w:hint="eastAsia"/>
          <w:sz w:val="32"/>
          <w:szCs w:val="32"/>
        </w:rPr>
        <w:t>和个体工商户经营成本压力。</w:t>
      </w:r>
    </w:p>
    <w:p w14:paraId="7B9481E0"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10．采取切实有效措施制止乱收费、乱摊派、乱罚款行为，研究实施专项整治行动方案，完善整治涉企乱收费协同治理和联合惩戒机制，防止对服务业的各项助企</w:t>
      </w:r>
      <w:proofErr w:type="gramStart"/>
      <w:r w:rsidRPr="00B9042E">
        <w:rPr>
          <w:rFonts w:ascii="仿宋" w:eastAsia="仿宋" w:hAnsi="仿宋" w:cs="仿宋" w:hint="eastAsia"/>
          <w:sz w:val="32"/>
          <w:szCs w:val="32"/>
        </w:rPr>
        <w:t>纾困政策</w:t>
      </w:r>
      <w:proofErr w:type="gramEnd"/>
      <w:r w:rsidRPr="00B9042E">
        <w:rPr>
          <w:rFonts w:ascii="仿宋" w:eastAsia="仿宋" w:hAnsi="仿宋" w:cs="仿宋" w:hint="eastAsia"/>
          <w:sz w:val="32"/>
          <w:szCs w:val="32"/>
        </w:rPr>
        <w:t>效果被“三乱” 抵消。鼓励服务业行业采取多种手段开展促销活动。</w:t>
      </w:r>
    </w:p>
    <w:p w14:paraId="0B476CDC" w14:textId="6B1D1B76" w:rsidR="00CC1227" w:rsidRPr="00B9042E" w:rsidRDefault="00B05B99" w:rsidP="00B9042E">
      <w:pPr>
        <w:pStyle w:val="4"/>
        <w:numPr>
          <w:ilvl w:val="0"/>
          <w:numId w:val="1"/>
        </w:numPr>
        <w:spacing w:before="0" w:after="0"/>
        <w:ind w:firstLineChars="200" w:firstLine="640"/>
        <w:rPr>
          <w:b w:val="0"/>
          <w:bCs/>
          <w:sz w:val="32"/>
          <w:szCs w:val="32"/>
        </w:rPr>
      </w:pPr>
      <w:r w:rsidRPr="00B9042E">
        <w:rPr>
          <w:rFonts w:hint="eastAsia"/>
          <w:b w:val="0"/>
          <w:bCs/>
          <w:sz w:val="32"/>
          <w:szCs w:val="32"/>
        </w:rPr>
        <w:t>餐饮业</w:t>
      </w:r>
      <w:proofErr w:type="gramStart"/>
      <w:r w:rsidRPr="00B9042E">
        <w:rPr>
          <w:rFonts w:hint="eastAsia"/>
          <w:b w:val="0"/>
          <w:bCs/>
          <w:sz w:val="32"/>
          <w:szCs w:val="32"/>
        </w:rPr>
        <w:t>纾</w:t>
      </w:r>
      <w:proofErr w:type="gramEnd"/>
      <w:r w:rsidRPr="00B9042E">
        <w:rPr>
          <w:rFonts w:hint="eastAsia"/>
          <w:b w:val="0"/>
          <w:bCs/>
          <w:sz w:val="32"/>
          <w:szCs w:val="32"/>
        </w:rPr>
        <w:t>困扶持措施</w:t>
      </w:r>
    </w:p>
    <w:p w14:paraId="4E27D869"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11．鼓励有条件的地方对餐饮企业免费开展员工定期核酸检测，对企业防疫、消杀支出给予补贴支持。2022年原则上应给予餐饮企业员工定期核酸检测不低于50%比例的补贴支持。</w:t>
      </w:r>
    </w:p>
    <w:p w14:paraId="69A61F97"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lastRenderedPageBreak/>
        <w:t>12．引导外卖等互联网平台企业进一步下调餐饮业商户服务费标准，降低相关餐饮企业经营成本。引导互联网平台企业对疫情中高风险地区所在的县级行政区域内的餐饮企业，给予阶段性商户服务费优惠。</w:t>
      </w:r>
    </w:p>
    <w:p w14:paraId="2516CFD4"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13．允许失业保险、工伤保险基金结余较多的省份对餐饮企业阶段性实施缓缴失业保险、工伤保险费政策，具体办法由省级人民政府确定。符合条件的餐饮企业提出申请，经参保地人民政府批准可以缓缴，期限不超过一年，缓缴期间免收滞纳金。</w:t>
      </w:r>
    </w:p>
    <w:p w14:paraId="772FC809"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14．引导金融机构加强与餐饮行业主管部门信息共享，运用中小</w:t>
      </w:r>
      <w:proofErr w:type="gramStart"/>
      <w:r w:rsidRPr="00B9042E">
        <w:rPr>
          <w:rFonts w:ascii="仿宋" w:eastAsia="仿宋" w:hAnsi="仿宋" w:cs="仿宋" w:hint="eastAsia"/>
          <w:sz w:val="32"/>
          <w:szCs w:val="32"/>
        </w:rPr>
        <w:t>微企业</w:t>
      </w:r>
      <w:proofErr w:type="gramEnd"/>
      <w:r w:rsidRPr="00B9042E">
        <w:rPr>
          <w:rFonts w:ascii="仿宋" w:eastAsia="仿宋" w:hAnsi="仿宋" w:cs="仿宋" w:hint="eastAsia"/>
          <w:sz w:val="32"/>
          <w:szCs w:val="32"/>
        </w:rPr>
        <w:t>和个体工商户的交易流水、经营用房租赁以及有关部门掌握的信用信息等数据，提升风险定价能力，更多发放信用贷款。鼓励符合条件的餐饮企业发行公司信用类债券，拓宽餐饮企业多元化融资渠道。</w:t>
      </w:r>
    </w:p>
    <w:p w14:paraId="7F1A012B"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15．鼓励政府性融资担保机构为符合条件的餐饮业中小</w:t>
      </w:r>
      <w:proofErr w:type="gramStart"/>
      <w:r w:rsidRPr="00B9042E">
        <w:rPr>
          <w:rFonts w:ascii="仿宋" w:eastAsia="仿宋" w:hAnsi="仿宋" w:cs="仿宋" w:hint="eastAsia"/>
          <w:sz w:val="32"/>
          <w:szCs w:val="32"/>
        </w:rPr>
        <w:t>微企业</w:t>
      </w:r>
      <w:proofErr w:type="gramEnd"/>
      <w:r w:rsidRPr="00B9042E">
        <w:rPr>
          <w:rFonts w:ascii="仿宋" w:eastAsia="仿宋" w:hAnsi="仿宋" w:cs="仿宋" w:hint="eastAsia"/>
          <w:sz w:val="32"/>
          <w:szCs w:val="32"/>
        </w:rPr>
        <w:t>提供融资增信支持，依法依约及时履行代偿责任，积极帮助受疫情影响企业续保续贷。支持有条件的地方向政府性融资担保机构注资、提供融资担保费用补贴。</w:t>
      </w:r>
    </w:p>
    <w:p w14:paraId="23ABD139"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16．鼓励保险机构优化产品和服务，</w:t>
      </w:r>
      <w:proofErr w:type="gramStart"/>
      <w:r w:rsidRPr="00B9042E">
        <w:rPr>
          <w:rFonts w:ascii="仿宋" w:eastAsia="仿宋" w:hAnsi="仿宋" w:cs="仿宋" w:hint="eastAsia"/>
          <w:sz w:val="32"/>
          <w:szCs w:val="32"/>
        </w:rPr>
        <w:t>扩大因</w:t>
      </w:r>
      <w:proofErr w:type="gramEnd"/>
      <w:r w:rsidRPr="00B9042E">
        <w:rPr>
          <w:rFonts w:ascii="仿宋" w:eastAsia="仿宋" w:hAnsi="仿宋" w:cs="仿宋" w:hint="eastAsia"/>
          <w:sz w:val="32"/>
          <w:szCs w:val="32"/>
        </w:rPr>
        <w:t>疫情导致餐饮企业营业中断损失保险的覆盖面，提升理赔效率，提高对餐饮企业的保障程度。鼓励有条件的地方给予保费补贴。</w:t>
      </w:r>
    </w:p>
    <w:p w14:paraId="11864244"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17．鼓励餐饮企业为老年人提供助餐服务，地方结合实</w:t>
      </w:r>
      <w:r w:rsidRPr="00B9042E">
        <w:rPr>
          <w:rFonts w:ascii="仿宋" w:eastAsia="仿宋" w:hAnsi="仿宋" w:cs="仿宋" w:hint="eastAsia"/>
          <w:sz w:val="32"/>
          <w:szCs w:val="32"/>
        </w:rPr>
        <w:lastRenderedPageBreak/>
        <w:t>际因地制宜对老年人助餐服务给予适当支持。不得强制餐饮企业给予配套优惠措施。</w:t>
      </w:r>
    </w:p>
    <w:p w14:paraId="66A8D3E9" w14:textId="541EF2DA" w:rsidR="00CC1227" w:rsidRPr="00B9042E" w:rsidRDefault="00B05B99" w:rsidP="00B9042E">
      <w:pPr>
        <w:pStyle w:val="4"/>
        <w:numPr>
          <w:ilvl w:val="0"/>
          <w:numId w:val="1"/>
        </w:numPr>
        <w:spacing w:before="0" w:after="0"/>
        <w:ind w:firstLineChars="200" w:firstLine="640"/>
        <w:rPr>
          <w:b w:val="0"/>
          <w:bCs/>
          <w:sz w:val="32"/>
          <w:szCs w:val="32"/>
        </w:rPr>
      </w:pPr>
      <w:r w:rsidRPr="00B9042E">
        <w:rPr>
          <w:rFonts w:hint="eastAsia"/>
          <w:b w:val="0"/>
          <w:bCs/>
          <w:sz w:val="32"/>
          <w:szCs w:val="32"/>
        </w:rPr>
        <w:t>零售业</w:t>
      </w:r>
      <w:proofErr w:type="gramStart"/>
      <w:r w:rsidRPr="00B9042E">
        <w:rPr>
          <w:rFonts w:hint="eastAsia"/>
          <w:b w:val="0"/>
          <w:bCs/>
          <w:sz w:val="32"/>
          <w:szCs w:val="32"/>
        </w:rPr>
        <w:t>纾</w:t>
      </w:r>
      <w:proofErr w:type="gramEnd"/>
      <w:r w:rsidRPr="00B9042E">
        <w:rPr>
          <w:rFonts w:hint="eastAsia"/>
          <w:b w:val="0"/>
          <w:bCs/>
          <w:sz w:val="32"/>
          <w:szCs w:val="32"/>
        </w:rPr>
        <w:t>困扶持措施</w:t>
      </w:r>
    </w:p>
    <w:p w14:paraId="75D68E19"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18．鼓励有条件的地方对零售企业免费开展员工定期核酸检测，对企业防疫、消杀支出给予补贴支持。2022年原则上应给予零售企业员工定期核酸检测不低于 50%比例的补贴支持。</w:t>
      </w:r>
    </w:p>
    <w:p w14:paraId="431649F8"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19．中央财政通过服务业发展资金，支持开展县域商业体系建设。加强政策支持，发挥市场机制作用，推动“一个上行（农产品上行）”和“三个下沉（供应链下沉、物流配送下沉、商品和服务下沉）”。</w:t>
      </w:r>
    </w:p>
    <w:p w14:paraId="492096B8"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20．中央财政继续通过服务业发展资金，支持10个省（自治区、直辖市）进一步加强农产品供应链体系建设，完善农产品流通骨干网络等。</w:t>
      </w:r>
    </w:p>
    <w:p w14:paraId="0242F2B4"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21．允许失业保险、工伤保险基金结余较多的省份对零售企业阶段性实施缓缴失业保险、工伤保险费政策，具体办法由省级人民政府确定。符合条件的零售企业提出申请，经参保地人民政府批准可以缓缴，期限不超过一年，缓缴期间免收滞纳金。</w:t>
      </w:r>
    </w:p>
    <w:p w14:paraId="5D659F68"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22．对于各地商务主管部门推荐的应急保供、重点培育、便民生活圈建设等名单企业，鼓励银行业金融机构加大信贷支持， 适当降低贷款利率，鼓励有条件的地方给予贷款贴</w:t>
      </w:r>
      <w:r w:rsidRPr="00B9042E">
        <w:rPr>
          <w:rFonts w:ascii="仿宋" w:eastAsia="仿宋" w:hAnsi="仿宋" w:cs="仿宋" w:hint="eastAsia"/>
          <w:sz w:val="32"/>
          <w:szCs w:val="32"/>
        </w:rPr>
        <w:lastRenderedPageBreak/>
        <w:t>息。引导金融机构加强与零售行业主管部门信息共享，运用中小</w:t>
      </w:r>
      <w:proofErr w:type="gramStart"/>
      <w:r w:rsidRPr="00B9042E">
        <w:rPr>
          <w:rFonts w:ascii="仿宋" w:eastAsia="仿宋" w:hAnsi="仿宋" w:cs="仿宋" w:hint="eastAsia"/>
          <w:sz w:val="32"/>
          <w:szCs w:val="32"/>
        </w:rPr>
        <w:t>微企业</w:t>
      </w:r>
      <w:proofErr w:type="gramEnd"/>
      <w:r w:rsidRPr="00B9042E">
        <w:rPr>
          <w:rFonts w:ascii="仿宋" w:eastAsia="仿宋" w:hAnsi="仿宋" w:cs="仿宋" w:hint="eastAsia"/>
          <w:sz w:val="32"/>
          <w:szCs w:val="32"/>
        </w:rPr>
        <w:t>和个体工商户的交易流水、经营用房租赁以及有关部门掌握的信用信息等数据，提升风险定价能力，更多发放信用贷款。鼓励符合条件的零售企业发行公司信用类债券，拓宽零售企业多元化融资渠道。</w:t>
      </w:r>
    </w:p>
    <w:p w14:paraId="1EA14595"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23．鼓励政府性融资担保机构为符合条件的零售业中小</w:t>
      </w:r>
      <w:proofErr w:type="gramStart"/>
      <w:r w:rsidRPr="00B9042E">
        <w:rPr>
          <w:rFonts w:ascii="仿宋" w:eastAsia="仿宋" w:hAnsi="仿宋" w:cs="仿宋" w:hint="eastAsia"/>
          <w:sz w:val="32"/>
          <w:szCs w:val="32"/>
        </w:rPr>
        <w:t>微企业</w:t>
      </w:r>
      <w:proofErr w:type="gramEnd"/>
      <w:r w:rsidRPr="00B9042E">
        <w:rPr>
          <w:rFonts w:ascii="仿宋" w:eastAsia="仿宋" w:hAnsi="仿宋" w:cs="仿宋" w:hint="eastAsia"/>
          <w:sz w:val="32"/>
          <w:szCs w:val="32"/>
        </w:rPr>
        <w:t>提供融资增信支持，依法依约及时履行代偿责任，积极帮助受疫情影响企业续保续贷。支持有条件的地方向政府性融资担保机构注资、提供融资担保费用补贴。</w:t>
      </w:r>
    </w:p>
    <w:p w14:paraId="2BF725B8" w14:textId="0D2E0B1D" w:rsidR="00CC1227" w:rsidRPr="00B9042E" w:rsidRDefault="00B05B99" w:rsidP="00B9042E">
      <w:pPr>
        <w:pStyle w:val="4"/>
        <w:numPr>
          <w:ilvl w:val="0"/>
          <w:numId w:val="1"/>
        </w:numPr>
        <w:spacing w:before="0" w:after="0"/>
        <w:ind w:firstLineChars="200" w:firstLine="640"/>
        <w:rPr>
          <w:b w:val="0"/>
          <w:bCs/>
          <w:sz w:val="32"/>
          <w:szCs w:val="32"/>
        </w:rPr>
      </w:pPr>
      <w:r w:rsidRPr="00B9042E">
        <w:rPr>
          <w:rFonts w:hint="eastAsia"/>
          <w:b w:val="0"/>
          <w:bCs/>
          <w:sz w:val="32"/>
          <w:szCs w:val="32"/>
        </w:rPr>
        <w:t>旅游业</w:t>
      </w:r>
      <w:proofErr w:type="gramStart"/>
      <w:r w:rsidRPr="00B9042E">
        <w:rPr>
          <w:rFonts w:hint="eastAsia"/>
          <w:b w:val="0"/>
          <w:bCs/>
          <w:sz w:val="32"/>
          <w:szCs w:val="32"/>
        </w:rPr>
        <w:t>纾</w:t>
      </w:r>
      <w:proofErr w:type="gramEnd"/>
      <w:r w:rsidRPr="00B9042E">
        <w:rPr>
          <w:rFonts w:hint="eastAsia"/>
          <w:b w:val="0"/>
          <w:bCs/>
          <w:sz w:val="32"/>
          <w:szCs w:val="32"/>
        </w:rPr>
        <w:t>困扶持措施</w:t>
      </w:r>
    </w:p>
    <w:p w14:paraId="436ECD59"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24．2022年继续实施旅行社暂</w:t>
      </w:r>
      <w:proofErr w:type="gramStart"/>
      <w:r w:rsidRPr="00B9042E">
        <w:rPr>
          <w:rFonts w:ascii="仿宋" w:eastAsia="仿宋" w:hAnsi="仿宋" w:cs="仿宋" w:hint="eastAsia"/>
          <w:sz w:val="32"/>
          <w:szCs w:val="32"/>
        </w:rPr>
        <w:t>退旅游</w:t>
      </w:r>
      <w:proofErr w:type="gramEnd"/>
      <w:r w:rsidRPr="00B9042E">
        <w:rPr>
          <w:rFonts w:ascii="仿宋" w:eastAsia="仿宋" w:hAnsi="仿宋" w:cs="仿宋" w:hint="eastAsia"/>
          <w:sz w:val="32"/>
          <w:szCs w:val="32"/>
        </w:rPr>
        <w:t>服务质量保证金扶持政策，对符合条件的旅行社维持80%的暂退比例，鼓励有条件的地方进一步提高暂退比例。同时，加快推进保险代替保证金试点工作，扩大保险代替保证金试点范围。</w:t>
      </w:r>
    </w:p>
    <w:p w14:paraId="0CC8B071" w14:textId="77777777" w:rsidR="00CC1227" w:rsidRPr="00B9042E" w:rsidRDefault="00B05B99" w:rsidP="00841750">
      <w:pPr>
        <w:numPr>
          <w:ilvl w:val="0"/>
          <w:numId w:val="2"/>
        </w:numPr>
        <w:ind w:firstLineChars="200" w:firstLine="640"/>
        <w:rPr>
          <w:rFonts w:ascii="仿宋" w:eastAsia="仿宋" w:hAnsi="仿宋" w:cs="仿宋"/>
          <w:sz w:val="32"/>
          <w:szCs w:val="32"/>
        </w:rPr>
      </w:pPr>
      <w:r w:rsidRPr="00B9042E">
        <w:rPr>
          <w:rFonts w:ascii="仿宋" w:eastAsia="仿宋" w:hAnsi="仿宋" w:cs="仿宋" w:hint="eastAsia"/>
          <w:sz w:val="32"/>
          <w:szCs w:val="32"/>
        </w:rPr>
        <w:t>允许失业保险、工伤保险基金结余较多的省份对旅游企业阶段性实施缓缴失业保险、工伤保险费政策，具体办法由省级人民政府确定。符合条件的旅游企业提出申请，经参保地人民政府批准可以缓缴，期限不超过一年，缓缴期间免收滞纳金。</w:t>
      </w:r>
    </w:p>
    <w:p w14:paraId="0A25A21D"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26．加强银企合作，建立</w:t>
      </w:r>
      <w:proofErr w:type="gramStart"/>
      <w:r w:rsidRPr="00B9042E">
        <w:rPr>
          <w:rFonts w:ascii="仿宋" w:eastAsia="仿宋" w:hAnsi="仿宋" w:cs="仿宋" w:hint="eastAsia"/>
          <w:sz w:val="32"/>
          <w:szCs w:val="32"/>
        </w:rPr>
        <w:t>健全重点</w:t>
      </w:r>
      <w:proofErr w:type="gramEnd"/>
      <w:r w:rsidRPr="00B9042E">
        <w:rPr>
          <w:rFonts w:ascii="仿宋" w:eastAsia="仿宋" w:hAnsi="仿宋" w:cs="仿宋" w:hint="eastAsia"/>
          <w:sz w:val="32"/>
          <w:szCs w:val="32"/>
        </w:rPr>
        <w:t>旅游企业项目融资需求库，引导金融机构对符合条件的、预期发展前景较好的A级旅游景区、旅游度假区、乡村旅游经营单位、星级酒店、</w:t>
      </w:r>
      <w:r w:rsidRPr="00B9042E">
        <w:rPr>
          <w:rFonts w:ascii="仿宋" w:eastAsia="仿宋" w:hAnsi="仿宋" w:cs="仿宋" w:hint="eastAsia"/>
          <w:sz w:val="32"/>
          <w:szCs w:val="32"/>
        </w:rPr>
        <w:lastRenderedPageBreak/>
        <w:t>旅行社等重点文化和旅游市场主体加大信贷投入，适当提高贷款额度。</w:t>
      </w:r>
    </w:p>
    <w:p w14:paraId="60C8FBD0"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27．政府采购住宿、会议、餐饮等服务项目时，严格执行经费支出额度规定，不得以星级、所有制等为门槛限制相关企业参与政府采购。</w:t>
      </w:r>
    </w:p>
    <w:p w14:paraId="19714D21"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28．鼓励机关企事业单位将符合规定举办的工会活动、会展活动等的方案制定、组织协调等交由旅行社承接，明确服务内容、服务标准等细化要求，加强资金使用管理，合理确定预付款比例，并按照合同约定及时向旅行社支付资金。</w:t>
      </w:r>
    </w:p>
    <w:p w14:paraId="2AA8BA6A"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29．鼓励银行业金融机构合理增加旅游业有效信贷供给。建立重点企业融资风险防控机制。引导金融机构合理降低新发放贷款利率，对受疫情影响生产经营困难的旅游企业主动让利。鼓励符合条件的旅游企业发行公司信用类债券，拓宽旅游企业多元化融资渠道。</w:t>
      </w:r>
    </w:p>
    <w:p w14:paraId="26043CAA"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30．对符合条件的、预期发展良好的旅行社、旅游演艺等领域中小</w:t>
      </w:r>
      <w:proofErr w:type="gramStart"/>
      <w:r w:rsidRPr="00B9042E">
        <w:rPr>
          <w:rFonts w:ascii="仿宋" w:eastAsia="仿宋" w:hAnsi="仿宋" w:cs="仿宋" w:hint="eastAsia"/>
          <w:sz w:val="32"/>
          <w:szCs w:val="32"/>
        </w:rPr>
        <w:t>微企业</w:t>
      </w:r>
      <w:proofErr w:type="gramEnd"/>
      <w:r w:rsidRPr="00B9042E">
        <w:rPr>
          <w:rFonts w:ascii="仿宋" w:eastAsia="仿宋" w:hAnsi="仿宋" w:cs="仿宋" w:hint="eastAsia"/>
          <w:sz w:val="32"/>
          <w:szCs w:val="32"/>
        </w:rPr>
        <w:t>加大普惠金融支持力度。发挥文化和旅游金融服务中心的积极作用，建立中小</w:t>
      </w:r>
      <w:proofErr w:type="gramStart"/>
      <w:r w:rsidRPr="00B9042E">
        <w:rPr>
          <w:rFonts w:ascii="仿宋" w:eastAsia="仿宋" w:hAnsi="仿宋" w:cs="仿宋" w:hint="eastAsia"/>
          <w:sz w:val="32"/>
          <w:szCs w:val="32"/>
        </w:rPr>
        <w:t>微旅游</w:t>
      </w:r>
      <w:proofErr w:type="gramEnd"/>
      <w:r w:rsidRPr="00B9042E">
        <w:rPr>
          <w:rFonts w:ascii="仿宋" w:eastAsia="仿宋" w:hAnsi="仿宋" w:cs="仿宋" w:hint="eastAsia"/>
          <w:sz w:val="32"/>
          <w:szCs w:val="32"/>
        </w:rPr>
        <w:t>企业融资需求库。鼓励银行业金融机构对旅游相关初创企业、中小</w:t>
      </w:r>
      <w:proofErr w:type="gramStart"/>
      <w:r w:rsidRPr="00B9042E">
        <w:rPr>
          <w:rFonts w:ascii="仿宋" w:eastAsia="仿宋" w:hAnsi="仿宋" w:cs="仿宋" w:hint="eastAsia"/>
          <w:sz w:val="32"/>
          <w:szCs w:val="32"/>
        </w:rPr>
        <w:t>微企业</w:t>
      </w:r>
      <w:proofErr w:type="gramEnd"/>
      <w:r w:rsidRPr="00B9042E">
        <w:rPr>
          <w:rFonts w:ascii="仿宋" w:eastAsia="仿宋" w:hAnsi="仿宋" w:cs="仿宋" w:hint="eastAsia"/>
          <w:sz w:val="32"/>
          <w:szCs w:val="32"/>
        </w:rPr>
        <w:t>和主题民宿等个体工商户分类予以小额贷款支持。</w:t>
      </w:r>
    </w:p>
    <w:p w14:paraId="0B981C87" w14:textId="0D0D6FA2" w:rsidR="00CC1227" w:rsidRPr="00B9042E" w:rsidRDefault="00B05B99" w:rsidP="00B9042E">
      <w:pPr>
        <w:pStyle w:val="4"/>
        <w:numPr>
          <w:ilvl w:val="0"/>
          <w:numId w:val="1"/>
        </w:numPr>
        <w:spacing w:before="0" w:after="0"/>
        <w:ind w:firstLineChars="200" w:firstLine="640"/>
        <w:rPr>
          <w:b w:val="0"/>
          <w:bCs/>
          <w:sz w:val="32"/>
          <w:szCs w:val="32"/>
        </w:rPr>
      </w:pPr>
      <w:r w:rsidRPr="00B9042E">
        <w:rPr>
          <w:rFonts w:hint="eastAsia"/>
          <w:b w:val="0"/>
          <w:bCs/>
          <w:sz w:val="32"/>
          <w:szCs w:val="32"/>
        </w:rPr>
        <w:t>公路水路铁路运输业</w:t>
      </w:r>
      <w:proofErr w:type="gramStart"/>
      <w:r w:rsidRPr="00B9042E">
        <w:rPr>
          <w:rFonts w:hint="eastAsia"/>
          <w:b w:val="0"/>
          <w:bCs/>
          <w:sz w:val="32"/>
          <w:szCs w:val="32"/>
        </w:rPr>
        <w:t>纾</w:t>
      </w:r>
      <w:proofErr w:type="gramEnd"/>
      <w:r w:rsidRPr="00B9042E">
        <w:rPr>
          <w:rFonts w:hint="eastAsia"/>
          <w:b w:val="0"/>
          <w:bCs/>
          <w:sz w:val="32"/>
          <w:szCs w:val="32"/>
        </w:rPr>
        <w:t>困扶持措施</w:t>
      </w:r>
    </w:p>
    <w:p w14:paraId="658B278E"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31．2022年暂停铁路运输企业预缴增值税一年。</w:t>
      </w:r>
    </w:p>
    <w:p w14:paraId="26795B7D"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32．2022年</w:t>
      </w:r>
      <w:proofErr w:type="gramStart"/>
      <w:r w:rsidRPr="00B9042E">
        <w:rPr>
          <w:rFonts w:ascii="仿宋" w:eastAsia="仿宋" w:hAnsi="仿宋" w:cs="仿宋" w:hint="eastAsia"/>
          <w:sz w:val="32"/>
          <w:szCs w:val="32"/>
        </w:rPr>
        <w:t>免征轮客渡</w:t>
      </w:r>
      <w:proofErr w:type="gramEnd"/>
      <w:r w:rsidRPr="00B9042E">
        <w:rPr>
          <w:rFonts w:ascii="仿宋" w:eastAsia="仿宋" w:hAnsi="仿宋" w:cs="仿宋" w:hint="eastAsia"/>
          <w:sz w:val="32"/>
          <w:szCs w:val="32"/>
        </w:rPr>
        <w:t>、公交客运、地铁、城市轻轨、</w:t>
      </w:r>
      <w:r w:rsidRPr="00B9042E">
        <w:rPr>
          <w:rFonts w:ascii="仿宋" w:eastAsia="仿宋" w:hAnsi="仿宋" w:cs="仿宋" w:hint="eastAsia"/>
          <w:sz w:val="32"/>
          <w:szCs w:val="32"/>
        </w:rPr>
        <w:lastRenderedPageBreak/>
        <w:t>出租车、长途客运、班车等公共交通运输服务增值税。</w:t>
      </w:r>
    </w:p>
    <w:p w14:paraId="18B78947"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33．2022年中央财政对符合要求的新能源公交车，继续按照既定标准给予购置补贴，且退坡幅度低于非公共领域购置车辆。</w:t>
      </w:r>
    </w:p>
    <w:p w14:paraId="541A2B7A"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34．2022年中央财政进一步加大车辆购置税收入补助地方资金力度，支持公路、水运和综合货运枢纽、集疏运体系建设等。</w:t>
      </w:r>
    </w:p>
    <w:p w14:paraId="0B02DA7D"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35．鼓励有条件的地方根据实际需要统筹安排资金，用于存在困难的新能源出租车、城市公交运营等支出。</w:t>
      </w:r>
    </w:p>
    <w:p w14:paraId="0784A7DC"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36．加强信息共享，发挥动态监控数据作用，引导金融机构创新符合道路水路运输企业特点的动产质押类贷款产品，盘活车辆、船舶等资产。鼓励金融机构按市场化原则对信用等级较高、承担疫情防控和应急运输任务较重的交通运输企业加大融资支持力度，相关主管部门提供企业清单</w:t>
      </w:r>
      <w:proofErr w:type="gramStart"/>
      <w:r w:rsidRPr="00B9042E">
        <w:rPr>
          <w:rFonts w:ascii="仿宋" w:eastAsia="仿宋" w:hAnsi="仿宋" w:cs="仿宋" w:hint="eastAsia"/>
          <w:sz w:val="32"/>
          <w:szCs w:val="32"/>
        </w:rPr>
        <w:t>供金融</w:t>
      </w:r>
      <w:proofErr w:type="gramEnd"/>
      <w:r w:rsidRPr="00B9042E">
        <w:rPr>
          <w:rFonts w:ascii="仿宋" w:eastAsia="仿宋" w:hAnsi="仿宋" w:cs="仿宋" w:hint="eastAsia"/>
          <w:sz w:val="32"/>
          <w:szCs w:val="32"/>
        </w:rPr>
        <w:t>机构参考。鼓励符合条件的交通运输企业发行公司信用类债券，拓宽交通运输企业多元化融资渠道。</w:t>
      </w:r>
    </w:p>
    <w:p w14:paraId="07284A1D" w14:textId="2E6F01A6" w:rsidR="00CC1227" w:rsidRPr="00B9042E" w:rsidRDefault="00B05B99" w:rsidP="00B9042E">
      <w:pPr>
        <w:pStyle w:val="4"/>
        <w:numPr>
          <w:ilvl w:val="0"/>
          <w:numId w:val="1"/>
        </w:numPr>
        <w:spacing w:before="0" w:after="0"/>
        <w:ind w:firstLineChars="200" w:firstLine="640"/>
        <w:rPr>
          <w:b w:val="0"/>
          <w:bCs/>
          <w:sz w:val="32"/>
          <w:szCs w:val="32"/>
        </w:rPr>
      </w:pPr>
      <w:r w:rsidRPr="00B9042E">
        <w:rPr>
          <w:rFonts w:hint="eastAsia"/>
          <w:b w:val="0"/>
          <w:bCs/>
          <w:sz w:val="32"/>
          <w:szCs w:val="32"/>
        </w:rPr>
        <w:t>民航业</w:t>
      </w:r>
      <w:proofErr w:type="gramStart"/>
      <w:r w:rsidRPr="00B9042E">
        <w:rPr>
          <w:rFonts w:hint="eastAsia"/>
          <w:b w:val="0"/>
          <w:bCs/>
          <w:sz w:val="32"/>
          <w:szCs w:val="32"/>
        </w:rPr>
        <w:t>纾</w:t>
      </w:r>
      <w:proofErr w:type="gramEnd"/>
      <w:r w:rsidRPr="00B9042E">
        <w:rPr>
          <w:rFonts w:hint="eastAsia"/>
          <w:b w:val="0"/>
          <w:bCs/>
          <w:sz w:val="32"/>
          <w:szCs w:val="32"/>
        </w:rPr>
        <w:t>困扶持措施</w:t>
      </w:r>
    </w:p>
    <w:p w14:paraId="2FAFEDF0"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37．2022年暂停航空运输企业预缴增值税一年。</w:t>
      </w:r>
    </w:p>
    <w:p w14:paraId="0B47DAE5"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38．地方可根据实际需要，统筹中央对地方转移支付以及地方自有财力，支持航空公司和机场做好疫情防控。</w:t>
      </w:r>
    </w:p>
    <w:p w14:paraId="5EA53A56"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39．统筹资源加大对民航基础设施建设资金支持力度。中央财政继续通过民航发展基金对符合条件的航空航线、安</w:t>
      </w:r>
      <w:r w:rsidRPr="00B9042E">
        <w:rPr>
          <w:rFonts w:ascii="仿宋" w:eastAsia="仿宋" w:hAnsi="仿宋" w:cs="仿宋" w:hint="eastAsia"/>
          <w:sz w:val="32"/>
          <w:szCs w:val="32"/>
        </w:rPr>
        <w:lastRenderedPageBreak/>
        <w:t>全能力建设等予以补贴。继续通过民航发展基金等对符合条件的中小机场和直属机场运营、安全能力建设等予以补贴，对民航基础设施贷款予以贴息，对机场和空管等项目建设予以投资补助。鼓励地方财政对相关项目建设予以支持。</w:t>
      </w:r>
    </w:p>
    <w:p w14:paraId="03BBE976"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40．研究协调推动中国航空油料集团有限公司与上游企业协商取消航空煤油价格中包含的海上运保费（2美元/桶）、港口费（50元/吨）等费用。</w:t>
      </w:r>
    </w:p>
    <w:p w14:paraId="5AF7FCC7"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41．鼓励银行业金融机构加大对枢纽机场的信贷支持力度。鼓励符合条件的航空公司发行公司信用类债券，拓宽航空公司多元化融资渠道。对受疫情影响严重的航空公司和民航机场注册发行债务融资工具建立绿色通道。</w:t>
      </w:r>
    </w:p>
    <w:p w14:paraId="76A93EDF" w14:textId="50DF543A" w:rsidR="00CC1227" w:rsidRPr="00B9042E" w:rsidRDefault="00B05B99" w:rsidP="00B9042E">
      <w:pPr>
        <w:pStyle w:val="4"/>
        <w:numPr>
          <w:ilvl w:val="0"/>
          <w:numId w:val="1"/>
        </w:numPr>
        <w:spacing w:before="0" w:after="0"/>
        <w:ind w:firstLineChars="200" w:firstLine="640"/>
        <w:rPr>
          <w:b w:val="0"/>
          <w:bCs/>
          <w:sz w:val="32"/>
          <w:szCs w:val="32"/>
        </w:rPr>
      </w:pPr>
      <w:r w:rsidRPr="00B9042E">
        <w:rPr>
          <w:rFonts w:hint="eastAsia"/>
          <w:b w:val="0"/>
          <w:bCs/>
          <w:sz w:val="32"/>
          <w:szCs w:val="32"/>
        </w:rPr>
        <w:t>精准实施疫情防控措施</w:t>
      </w:r>
    </w:p>
    <w:p w14:paraId="55DDF662"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42．认真落实严格、科学、精准的疫情防控措施，坚决防止和避免“放松防控”和“过度防控”两种倾向，有效恢复和保持服务业发展正常秩序。一是建立精准监测机制，运用大数据手段建立餐厅、商超、景点、机场、港口、冷链运输等服务业重点区域、重点行业从业人员库，落实重点人员和高风险岗位人员核酸检测频次，做到应</w:t>
      </w:r>
      <w:proofErr w:type="gramStart"/>
      <w:r w:rsidRPr="00B9042E">
        <w:rPr>
          <w:rFonts w:ascii="仿宋" w:eastAsia="仿宋" w:hAnsi="仿宋" w:cs="仿宋" w:hint="eastAsia"/>
          <w:sz w:val="32"/>
          <w:szCs w:val="32"/>
        </w:rPr>
        <w:t>检尽检</w:t>
      </w:r>
      <w:proofErr w:type="gramEnd"/>
      <w:r w:rsidRPr="00B9042E">
        <w:rPr>
          <w:rFonts w:ascii="仿宋" w:eastAsia="仿宋" w:hAnsi="仿宋" w:cs="仿宋" w:hint="eastAsia"/>
          <w:sz w:val="32"/>
          <w:szCs w:val="32"/>
        </w:rPr>
        <w:t>。二是提升精准识别能力，确保疫情在服务业场所发生时全力以赴抓好流调“黄金24小时”。三是强化精准管控隔离，科学精准定位服务业重点、高危人群，对密切接触者和密接的密接进行集中隔离医学观察，对其他人员按照相关规定进行分类管</w:t>
      </w:r>
      <w:r w:rsidRPr="00B9042E">
        <w:rPr>
          <w:rFonts w:ascii="仿宋" w:eastAsia="仿宋" w:hAnsi="仿宋" w:cs="仿宋" w:hint="eastAsia"/>
          <w:sz w:val="32"/>
          <w:szCs w:val="32"/>
        </w:rPr>
        <w:lastRenderedPageBreak/>
        <w:t>理。四是推广精准防护理念，餐饮、零售、旅游、交通客运、民航等行业和相关服务场所工作人员做到疫苗应接尽接，建立工作人员每日健康监测登记制度，增强从业人员和公众疫情防控意识。</w:t>
      </w:r>
    </w:p>
    <w:p w14:paraId="3F41F3BB" w14:textId="77777777" w:rsidR="00CC1227" w:rsidRPr="00B9042E" w:rsidRDefault="00B05B99" w:rsidP="00841750">
      <w:pPr>
        <w:ind w:firstLineChars="200" w:firstLine="640"/>
        <w:rPr>
          <w:rFonts w:ascii="仿宋" w:eastAsia="仿宋" w:hAnsi="仿宋" w:cs="仿宋"/>
          <w:sz w:val="32"/>
          <w:szCs w:val="32"/>
        </w:rPr>
      </w:pPr>
      <w:r w:rsidRPr="00B9042E">
        <w:rPr>
          <w:rFonts w:ascii="仿宋" w:eastAsia="仿宋" w:hAnsi="仿宋" w:cs="仿宋" w:hint="eastAsia"/>
          <w:sz w:val="32"/>
          <w:szCs w:val="32"/>
        </w:rPr>
        <w:t>43．严格落实国务院联防联控机制综合组防疫政策“五个不得”的要求，即不得禁止低风险地区人员返乡；不得随意扩大中高风险地区范围；不得随意将限制出行范围由中、高风险地区及所在区（县）扩大到所在地市；不得擅自对低风险地区人员采取集中隔离管控、劝返等措施；不得随意延长集中隔离观察期限。在此基础上，进一步对服务业行业提出精准防疫要求。一是不得突破疫情防控相应规定进行封城、封区，不得非必要、</w:t>
      </w:r>
      <w:proofErr w:type="gramStart"/>
      <w:r w:rsidRPr="00B9042E">
        <w:rPr>
          <w:rFonts w:ascii="仿宋" w:eastAsia="仿宋" w:hAnsi="仿宋" w:cs="仿宋" w:hint="eastAsia"/>
          <w:sz w:val="32"/>
          <w:szCs w:val="32"/>
        </w:rPr>
        <w:t>不</w:t>
      </w:r>
      <w:proofErr w:type="gramEnd"/>
      <w:r w:rsidRPr="00B9042E">
        <w:rPr>
          <w:rFonts w:ascii="仿宋" w:eastAsia="仿宋" w:hAnsi="仿宋" w:cs="仿宋" w:hint="eastAsia"/>
          <w:sz w:val="32"/>
          <w:szCs w:val="32"/>
        </w:rPr>
        <w:t>报批中断公共交通。二是不得非经流调、无政策依据对餐厅、商超、景区景点、电影院及相关服务业场所等实施关停措施、延长关停时间。三是不得在国务院联防联控机制政策要求基础上擅自增加对服务业的疫情防控措施。确有必要采取封城封区、中断交通等措施或在现行基础上加强疫情防控力度的，须报经国务院联防联控机制同意后实施。各省级人民政府要统筹本地区疫情防控措施总体要求，针对服务业行业特点，建立疫情防控措施层层加码问题反映、核实、纠正专项工作机制。</w:t>
      </w:r>
    </w:p>
    <w:p w14:paraId="60301683" w14:textId="5515C90A" w:rsidR="00CC1227" w:rsidRPr="00B9042E" w:rsidRDefault="00B05B99" w:rsidP="00B9042E">
      <w:pPr>
        <w:pStyle w:val="4"/>
        <w:numPr>
          <w:ilvl w:val="0"/>
          <w:numId w:val="1"/>
        </w:numPr>
        <w:spacing w:before="0" w:after="0"/>
        <w:ind w:firstLineChars="200" w:firstLine="640"/>
        <w:rPr>
          <w:b w:val="0"/>
          <w:bCs/>
          <w:sz w:val="32"/>
          <w:szCs w:val="32"/>
        </w:rPr>
      </w:pPr>
      <w:r w:rsidRPr="00B9042E">
        <w:rPr>
          <w:rFonts w:hint="eastAsia"/>
          <w:b w:val="0"/>
          <w:bCs/>
          <w:sz w:val="32"/>
          <w:szCs w:val="32"/>
        </w:rPr>
        <w:t>保障措施</w:t>
      </w:r>
    </w:p>
    <w:p w14:paraId="2FDC87AB" w14:textId="77777777" w:rsidR="00CC1227" w:rsidRPr="00B9042E" w:rsidRDefault="00B05B99" w:rsidP="00841750">
      <w:pPr>
        <w:ind w:firstLineChars="200" w:firstLine="640"/>
        <w:rPr>
          <w:rFonts w:ascii="仿宋" w:eastAsia="仿宋" w:hAnsi="仿宋" w:cs="仿宋"/>
          <w:b/>
          <w:bCs/>
          <w:sz w:val="32"/>
          <w:szCs w:val="32"/>
        </w:rPr>
      </w:pPr>
      <w:r w:rsidRPr="00B9042E">
        <w:rPr>
          <w:rFonts w:ascii="仿宋" w:eastAsia="仿宋" w:hAnsi="仿宋" w:cs="仿宋" w:hint="eastAsia"/>
          <w:sz w:val="32"/>
          <w:szCs w:val="32"/>
        </w:rPr>
        <w:t>发展改革委要切实发挥牵头作用，加强统筹协调，做好</w:t>
      </w:r>
      <w:r w:rsidRPr="00B9042E">
        <w:rPr>
          <w:rFonts w:ascii="仿宋" w:eastAsia="仿宋" w:hAnsi="仿宋" w:cs="仿宋" w:hint="eastAsia"/>
          <w:sz w:val="32"/>
          <w:szCs w:val="32"/>
        </w:rPr>
        <w:lastRenderedPageBreak/>
        <w:t>形势分析，加大协调推动有关政策的出台、执行落实工作力度，强化储备政策研究；国务院各有关部门要各司其责、加强配合，加大政策宣传贯彻力度，抓紧出台具体政策实施办法，及时跟进解读已出台政策措施，及时协调解决政策落实过程中的难点、堵点问题，及时回应社会诉求和关切。各地区要结合实际情况和服务业领域困难行业特点，把握好政策时度效，抓好政策宣传贯彻落实，及时跟踪</w:t>
      </w:r>
      <w:proofErr w:type="gramStart"/>
      <w:r w:rsidRPr="00B9042E">
        <w:rPr>
          <w:rFonts w:ascii="仿宋" w:eastAsia="仿宋" w:hAnsi="仿宋" w:cs="仿宋" w:hint="eastAsia"/>
          <w:sz w:val="32"/>
          <w:szCs w:val="32"/>
        </w:rPr>
        <w:t>研判相关</w:t>
      </w:r>
      <w:proofErr w:type="gramEnd"/>
      <w:r w:rsidRPr="00B9042E">
        <w:rPr>
          <w:rFonts w:ascii="仿宋" w:eastAsia="仿宋" w:hAnsi="仿宋" w:cs="仿宋" w:hint="eastAsia"/>
          <w:sz w:val="32"/>
          <w:szCs w:val="32"/>
        </w:rPr>
        <w:t>困难行业企业恢复情况，出台有针对性的专项配套支持政策，确保政策有效传导至市场主体，支持企业</w:t>
      </w:r>
      <w:proofErr w:type="gramStart"/>
      <w:r w:rsidRPr="00B9042E">
        <w:rPr>
          <w:rFonts w:ascii="仿宋" w:eastAsia="仿宋" w:hAnsi="仿宋" w:cs="仿宋" w:hint="eastAsia"/>
          <w:sz w:val="32"/>
          <w:szCs w:val="32"/>
        </w:rPr>
        <w:t>纾</w:t>
      </w:r>
      <w:proofErr w:type="gramEnd"/>
      <w:r w:rsidRPr="00B9042E">
        <w:rPr>
          <w:rFonts w:ascii="仿宋" w:eastAsia="仿宋" w:hAnsi="仿宋" w:cs="仿宋" w:hint="eastAsia"/>
          <w:sz w:val="32"/>
          <w:szCs w:val="32"/>
        </w:rPr>
        <w:t>困发展。</w:t>
      </w:r>
      <w:r w:rsidRPr="00B9042E">
        <w:rPr>
          <w:rFonts w:ascii="仿宋" w:eastAsia="仿宋" w:hAnsi="仿宋" w:cs="仿宋" w:hint="eastAsia"/>
          <w:b/>
          <w:bCs/>
          <w:sz w:val="32"/>
          <w:szCs w:val="32"/>
        </w:rPr>
        <w:t>各有关行业协会要充分发挥联系企业的桥梁和纽带作用，指导帮助企业用足用好相关</w:t>
      </w:r>
      <w:proofErr w:type="gramStart"/>
      <w:r w:rsidRPr="00B9042E">
        <w:rPr>
          <w:rFonts w:ascii="仿宋" w:eastAsia="仿宋" w:hAnsi="仿宋" w:cs="仿宋" w:hint="eastAsia"/>
          <w:b/>
          <w:bCs/>
          <w:sz w:val="32"/>
          <w:szCs w:val="32"/>
        </w:rPr>
        <w:t>纾</w:t>
      </w:r>
      <w:proofErr w:type="gramEnd"/>
      <w:r w:rsidRPr="00B9042E">
        <w:rPr>
          <w:rFonts w:ascii="仿宋" w:eastAsia="仿宋" w:hAnsi="仿宋" w:cs="仿宋" w:hint="eastAsia"/>
          <w:b/>
          <w:bCs/>
          <w:sz w:val="32"/>
          <w:szCs w:val="32"/>
        </w:rPr>
        <w:t>困扶持措施，加强调查研究，及时了解和反馈行业发展动态、难点问题、企业诉求和政策落实情况。</w:t>
      </w:r>
    </w:p>
    <w:sectPr w:rsidR="00CC1227" w:rsidRPr="00B904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79501" w14:textId="77777777" w:rsidR="009F06F0" w:rsidRDefault="009F06F0" w:rsidP="00591C9B">
      <w:r>
        <w:separator/>
      </w:r>
    </w:p>
  </w:endnote>
  <w:endnote w:type="continuationSeparator" w:id="0">
    <w:p w14:paraId="0E3B9473" w14:textId="77777777" w:rsidR="009F06F0" w:rsidRDefault="009F06F0" w:rsidP="005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831C7" w14:textId="77777777" w:rsidR="009F06F0" w:rsidRDefault="009F06F0" w:rsidP="00591C9B">
      <w:r>
        <w:separator/>
      </w:r>
    </w:p>
  </w:footnote>
  <w:footnote w:type="continuationSeparator" w:id="0">
    <w:p w14:paraId="041981BE" w14:textId="77777777" w:rsidR="009F06F0" w:rsidRDefault="009F06F0" w:rsidP="0059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CA6AB"/>
    <w:multiLevelType w:val="singleLevel"/>
    <w:tmpl w:val="0D6CA6AB"/>
    <w:lvl w:ilvl="0">
      <w:start w:val="25"/>
      <w:numFmt w:val="decimal"/>
      <w:suff w:val="nothing"/>
      <w:lvlText w:val="%1．"/>
      <w:lvlJc w:val="left"/>
    </w:lvl>
  </w:abstractNum>
  <w:abstractNum w:abstractNumId="1" w15:restartNumberingAfterBreak="0">
    <w:nsid w:val="7345784F"/>
    <w:multiLevelType w:val="singleLevel"/>
    <w:tmpl w:val="7345784F"/>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F79409D"/>
    <w:rsid w:val="000266E4"/>
    <w:rsid w:val="00131DCB"/>
    <w:rsid w:val="00306C5C"/>
    <w:rsid w:val="00311CC6"/>
    <w:rsid w:val="003138F9"/>
    <w:rsid w:val="004313CD"/>
    <w:rsid w:val="00562919"/>
    <w:rsid w:val="00591C9B"/>
    <w:rsid w:val="005A6FC7"/>
    <w:rsid w:val="005A7B13"/>
    <w:rsid w:val="00672922"/>
    <w:rsid w:val="0077365D"/>
    <w:rsid w:val="007A5F50"/>
    <w:rsid w:val="00841750"/>
    <w:rsid w:val="009F06F0"/>
    <w:rsid w:val="00AE68E8"/>
    <w:rsid w:val="00AF38E7"/>
    <w:rsid w:val="00B05B99"/>
    <w:rsid w:val="00B40B78"/>
    <w:rsid w:val="00B9042E"/>
    <w:rsid w:val="00C550CD"/>
    <w:rsid w:val="00CC1227"/>
    <w:rsid w:val="00D37C5B"/>
    <w:rsid w:val="00DE5BEE"/>
    <w:rsid w:val="00F16DD1"/>
    <w:rsid w:val="00F83FF9"/>
    <w:rsid w:val="00FF4832"/>
    <w:rsid w:val="229B3670"/>
    <w:rsid w:val="290C4675"/>
    <w:rsid w:val="396318EA"/>
    <w:rsid w:val="5F794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28488"/>
  <w15:docId w15:val="{D80B6F2B-E85F-4FBD-8C80-B269449C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header"/>
    <w:basedOn w:val="a"/>
    <w:link w:val="a5"/>
    <w:rsid w:val="00591C9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91C9B"/>
    <w:rPr>
      <w:kern w:val="2"/>
      <w:sz w:val="18"/>
      <w:szCs w:val="18"/>
    </w:rPr>
  </w:style>
  <w:style w:type="paragraph" w:styleId="a6">
    <w:name w:val="footer"/>
    <w:basedOn w:val="a"/>
    <w:link w:val="a7"/>
    <w:rsid w:val="00591C9B"/>
    <w:pPr>
      <w:tabs>
        <w:tab w:val="center" w:pos="4153"/>
        <w:tab w:val="right" w:pos="8306"/>
      </w:tabs>
      <w:snapToGrid w:val="0"/>
      <w:jc w:val="left"/>
    </w:pPr>
    <w:rPr>
      <w:sz w:val="18"/>
      <w:szCs w:val="18"/>
    </w:rPr>
  </w:style>
  <w:style w:type="character" w:customStyle="1" w:styleId="a7">
    <w:name w:val="页脚 字符"/>
    <w:basedOn w:val="a0"/>
    <w:link w:val="a6"/>
    <w:rsid w:val="00591C9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高伟</dc:creator>
  <cp:lastModifiedBy>恩泽</cp:lastModifiedBy>
  <cp:revision>71</cp:revision>
  <dcterms:created xsi:type="dcterms:W3CDTF">2022-03-02T00:27:00Z</dcterms:created>
  <dcterms:modified xsi:type="dcterms:W3CDTF">2022-03-02T10:17:00Z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