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left="0" w:firstLine="0"/>
        <w:jc w:val="center"/>
        <w:rPr>
          <w:rFonts w:ascii="微软雅黑" w:hAnsi="微软雅黑" w:eastAsia="微软雅黑"/>
          <w:sz w:val="32"/>
          <w:szCs w:val="32"/>
        </w:rPr>
      </w:pPr>
      <w:bookmarkStart w:id="16" w:name="_GoBack"/>
      <w:bookmarkEnd w:id="16"/>
      <w:r>
        <w:rPr>
          <w:rFonts w:hint="eastAsia" w:ascii="微软雅黑" w:hAnsi="微软雅黑" w:eastAsia="微软雅黑"/>
          <w:sz w:val="32"/>
          <w:szCs w:val="32"/>
        </w:rPr>
        <w:t>《疏浚工程用无筋板平面法兰钢管》</w:t>
      </w:r>
    </w:p>
    <w:p>
      <w:pPr>
        <w:pStyle w:val="7"/>
        <w:ind w:left="0" w:firstLine="0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团体标准编制说明</w:t>
      </w:r>
    </w:p>
    <w:p>
      <w:pPr>
        <w:pStyle w:val="2"/>
        <w:rPr>
          <w:lang w:bidi="ar"/>
        </w:rPr>
      </w:pPr>
      <w:r>
        <w:rPr>
          <w:rFonts w:hint="eastAsia"/>
          <w:lang w:bidi="ar"/>
        </w:rPr>
        <w:t>一、工作简况</w:t>
      </w:r>
    </w:p>
    <w:p>
      <w:pPr>
        <w:pStyle w:val="5"/>
      </w:pPr>
      <w:r>
        <w:rPr>
          <w:rFonts w:hint="eastAsia"/>
          <w:lang w:bidi="ar"/>
        </w:rPr>
        <w:t>1.1 任务来源</w:t>
      </w:r>
    </w:p>
    <w:p>
      <w:pPr>
        <w:ind w:firstLine="560" w:firstLineChars="200"/>
        <w:rPr>
          <w:lang w:bidi="ar"/>
        </w:rPr>
      </w:pPr>
      <w:r>
        <w:rPr>
          <w:rFonts w:hint="eastAsia"/>
          <w:color w:val="000000" w:themeColor="text1"/>
          <w:lang w:bidi="ar"/>
          <w14:textFill>
            <w14:solidFill>
              <w14:schemeClr w14:val="tx1"/>
            </w14:solidFill>
          </w14:textFill>
        </w:rPr>
        <w:t>根据中国疏浚协会（中疏协字[2024]10号）文件，关于召开《疏</w:t>
      </w:r>
      <w:r>
        <w:rPr>
          <w:rFonts w:hint="eastAsia"/>
          <w:lang w:bidi="ar"/>
        </w:rPr>
        <w:t>浚工程用无筋板平面法兰钢管》团体标准大纲与征求意见搞（草案）编写审查会议的通知，由江苏巨鑫石油钢管有限公司（以下简称江苏巨鑫）和中交疏浚（集团）股份有限公司（以下简称中交疏浚）联合牵头开展《疏浚工程用无筋板平面法兰钢管》团体标准的编制工作。本文件</w:t>
      </w:r>
      <w:r>
        <w:rPr>
          <w:rFonts w:hint="eastAsia"/>
          <w:color w:val="000000"/>
          <w:lang w:bidi="ar"/>
        </w:rPr>
        <w:t>由疏浚协会标准化委员会提</w:t>
      </w:r>
      <w:r>
        <w:rPr>
          <w:rFonts w:hint="eastAsia"/>
          <w:lang w:bidi="ar"/>
        </w:rPr>
        <w:t>出和归口。</w:t>
      </w:r>
    </w:p>
    <w:p>
      <w:pPr>
        <w:pStyle w:val="5"/>
        <w:rPr>
          <w:lang w:bidi="ar"/>
        </w:rPr>
      </w:pPr>
      <w:r>
        <w:rPr>
          <w:rFonts w:hint="eastAsia"/>
          <w:lang w:bidi="ar"/>
        </w:rPr>
        <w:t>1.2 协作单位</w:t>
      </w:r>
    </w:p>
    <w:p>
      <w:pPr>
        <w:ind w:firstLine="560" w:firstLineChars="200"/>
        <w:rPr>
          <w:lang w:bidi="ar"/>
        </w:rPr>
      </w:pPr>
      <w:r>
        <w:rPr>
          <w:rFonts w:hint="eastAsia"/>
          <w:lang w:bidi="ar"/>
        </w:rPr>
        <w:t>本文件由江苏巨鑫石油钢管有限公司和中交疏浚（集团）股份有限公司联合牵头，</w:t>
      </w:r>
      <w:bookmarkStart w:id="0" w:name="OLE_LINK3"/>
      <w:r>
        <w:rPr>
          <w:rFonts w:hint="eastAsia"/>
          <w:lang w:bidi="ar"/>
        </w:rPr>
        <w:t>中交天津航道局</w:t>
      </w:r>
      <w:bookmarkEnd w:id="0"/>
      <w:r>
        <w:rPr>
          <w:rFonts w:hint="eastAsia"/>
          <w:lang w:bidi="ar"/>
        </w:rPr>
        <w:t>有限公司（以下简称中交天航局）和同济大学共同参与编制。</w:t>
      </w:r>
    </w:p>
    <w:p>
      <w:pPr>
        <w:pStyle w:val="5"/>
        <w:rPr>
          <w:lang w:bidi="ar"/>
        </w:rPr>
      </w:pPr>
      <w:r>
        <w:rPr>
          <w:rFonts w:hint="eastAsia"/>
          <w:lang w:bidi="ar"/>
        </w:rPr>
        <w:t>1.3 主要工作过程</w:t>
      </w:r>
    </w:p>
    <w:p>
      <w:pPr>
        <w:pStyle w:val="6"/>
        <w:ind w:firstLine="560"/>
        <w:rPr>
          <w:lang w:bidi="ar"/>
        </w:rPr>
      </w:pPr>
      <w:r>
        <w:rPr>
          <w:rFonts w:hint="eastAsia"/>
          <w:lang w:bidi="ar"/>
        </w:rPr>
        <w:t>1.3.1 立项阶段</w:t>
      </w:r>
    </w:p>
    <w:p>
      <w:pPr>
        <w:ind w:firstLine="560" w:firstLineChars="200"/>
        <w:rPr>
          <w:lang w:bidi="ar"/>
        </w:rPr>
      </w:pPr>
      <w:r>
        <w:rPr>
          <w:rFonts w:hint="eastAsia"/>
          <w:lang w:bidi="ar"/>
        </w:rPr>
        <w:t>2024年1月，江苏巨鑫和中交疏浚联合向中国疏浚协会提出立项《疏浚工程用无筋板平面法兰钢管》团体标准的申请，经中国疏浚协会标委会委员评审，同意该标准立项。专家提议本标准由江苏巨鑫、中交疏浚、中交天航局、同济大学4家单位共同编制。</w:t>
      </w:r>
    </w:p>
    <w:p>
      <w:pPr>
        <w:pStyle w:val="6"/>
        <w:ind w:firstLine="560"/>
      </w:pPr>
      <w:r>
        <w:rPr>
          <w:rFonts w:hint="eastAsia"/>
          <w:lang w:bidi="ar"/>
        </w:rPr>
        <w:t>1.3.2 起草阶段</w:t>
      </w:r>
    </w:p>
    <w:p>
      <w:pPr>
        <w:ind w:firstLine="560" w:firstLineChars="200"/>
        <w:rPr>
          <w:lang w:bidi="ar"/>
        </w:rPr>
      </w:pPr>
      <w:r>
        <w:rPr>
          <w:rFonts w:hint="eastAsia"/>
          <w:lang w:bidi="ar"/>
        </w:rPr>
        <w:t>2024年2月10日，江苏巨鑫等4家单位联合成立标准编制项目组，项目组收集国内外疏浚钢管的结构形式，相关标准及技术资料并提出了标准制定的原则、主要依据及制定的方法。</w:t>
      </w:r>
    </w:p>
    <w:p>
      <w:pPr>
        <w:ind w:firstLine="560" w:firstLineChars="200"/>
        <w:rPr>
          <w:lang w:bidi="ar"/>
        </w:rPr>
      </w:pPr>
      <w:r>
        <w:rPr>
          <w:rFonts w:hint="eastAsia"/>
          <w:lang w:bidi="ar"/>
        </w:rPr>
        <w:t>2023年4月20日，项目组完成《疏浚工程用无筋板平面法兰钢管》征求意见稿（初稿），内部讨论后，4月25日前以邮件方式向评审专家组征求书面意见。</w:t>
      </w:r>
    </w:p>
    <w:p>
      <w:pPr>
        <w:ind w:firstLine="560" w:firstLineChars="200"/>
        <w:rPr>
          <w:lang w:bidi="ar"/>
        </w:rPr>
      </w:pPr>
      <w:r>
        <w:rPr>
          <w:rFonts w:hint="eastAsia"/>
          <w:lang w:bidi="ar"/>
        </w:rPr>
        <w:t>2024年4月30日，中国疏浚协会组织召开《疏浚工程用无筋板平面法兰钢管》团体标准审查会议，对团体标准编写大纲和征求意见稿审查。</w:t>
      </w:r>
    </w:p>
    <w:p>
      <w:pPr>
        <w:pStyle w:val="6"/>
        <w:ind w:firstLine="560"/>
      </w:pPr>
      <w:r>
        <w:rPr>
          <w:rFonts w:hint="eastAsia"/>
          <w:lang w:bidi="ar"/>
        </w:rPr>
        <w:t>1.3.3 送审阶段</w:t>
      </w:r>
    </w:p>
    <w:p>
      <w:pPr>
        <w:ind w:firstLine="560" w:firstLineChars="200"/>
        <w:rPr>
          <w:color w:val="FF0000"/>
          <w:lang w:bidi="ar"/>
        </w:rPr>
      </w:pPr>
      <w:r>
        <w:rPr>
          <w:rFonts w:hint="eastAsia"/>
          <w:color w:val="FF0000"/>
          <w:lang w:bidi="ar"/>
        </w:rPr>
        <w:t>(待补充)。</w:t>
      </w:r>
    </w:p>
    <w:p>
      <w:pPr>
        <w:pStyle w:val="6"/>
        <w:ind w:firstLine="560"/>
      </w:pPr>
      <w:r>
        <w:rPr>
          <w:rFonts w:hint="eastAsia"/>
          <w:lang w:bidi="ar"/>
        </w:rPr>
        <w:t>1.3.4 报批阶段</w:t>
      </w:r>
    </w:p>
    <w:p>
      <w:pPr>
        <w:ind w:firstLine="560" w:firstLineChars="200"/>
        <w:rPr>
          <w:color w:val="FF0000"/>
          <w:lang w:bidi="ar"/>
        </w:rPr>
      </w:pPr>
      <w:r>
        <w:rPr>
          <w:rFonts w:hint="eastAsia"/>
          <w:color w:val="FF0000"/>
          <w:lang w:bidi="ar"/>
        </w:rPr>
        <w:t>（待补充）。</w:t>
      </w:r>
    </w:p>
    <w:p>
      <w:pPr>
        <w:pStyle w:val="5"/>
      </w:pPr>
      <w:r>
        <w:rPr>
          <w:rFonts w:hint="eastAsia"/>
          <w:lang w:bidi="ar"/>
        </w:rPr>
        <w:t>1.4 主要参加单位和工作组成员及所做的工作等</w:t>
      </w:r>
    </w:p>
    <w:p>
      <w:pPr>
        <w:pStyle w:val="33"/>
        <w:numPr>
          <w:ilvl w:val="0"/>
          <w:numId w:val="0"/>
        </w:numPr>
        <w:rPr>
          <w:lang w:bidi="ar"/>
        </w:rPr>
      </w:pPr>
      <w:r>
        <w:rPr>
          <w:rFonts w:hint="eastAsia"/>
          <w:lang w:bidi="ar"/>
        </w:rPr>
        <w:t>（1）主编单位：江苏巨鑫石油钢管有限公司、中交疏浚（集团）股份有限公司。</w:t>
      </w:r>
    </w:p>
    <w:p>
      <w:pPr>
        <w:pStyle w:val="33"/>
        <w:numPr>
          <w:ilvl w:val="0"/>
          <w:numId w:val="0"/>
        </w:numPr>
        <w:rPr>
          <w:lang w:bidi="ar"/>
        </w:rPr>
      </w:pPr>
      <w:r>
        <w:rPr>
          <w:rFonts w:hint="eastAsia"/>
          <w:lang w:bidi="ar"/>
        </w:rPr>
        <w:t>（2）参编单位：同济大学、中交天津航道局有限公司。</w:t>
      </w:r>
    </w:p>
    <w:p>
      <w:pPr>
        <w:pStyle w:val="33"/>
        <w:numPr>
          <w:ilvl w:val="0"/>
          <w:numId w:val="0"/>
        </w:numPr>
        <w:rPr>
          <w:lang w:bidi="ar"/>
        </w:rPr>
      </w:pPr>
      <w:r>
        <w:rPr>
          <w:rFonts w:hint="eastAsia"/>
          <w:lang w:bidi="ar"/>
        </w:rPr>
        <w:t>（3）编写组组成：</w:t>
      </w:r>
    </w:p>
    <w:p>
      <w:pPr>
        <w:pStyle w:val="30"/>
        <w:numPr>
          <w:ilvl w:val="0"/>
          <w:numId w:val="3"/>
        </w:numPr>
        <w:ind w:firstLineChars="0"/>
        <w:rPr>
          <w:lang w:bidi="ar"/>
        </w:rPr>
      </w:pPr>
      <w:r>
        <w:rPr>
          <w:rFonts w:hint="eastAsia"/>
          <w:lang w:bidi="ar"/>
        </w:rPr>
        <w:t>编写组人员：王建强、李海军、王永远、洪宇、刘荣振、訚耀保、关明生、胡宏涛、代志同；</w:t>
      </w:r>
    </w:p>
    <w:p>
      <w:pPr>
        <w:pStyle w:val="30"/>
        <w:numPr>
          <w:ilvl w:val="0"/>
          <w:numId w:val="3"/>
        </w:numPr>
        <w:ind w:firstLineChars="0"/>
        <w:rPr>
          <w:lang w:bidi="ar"/>
        </w:rPr>
      </w:pPr>
      <w:r>
        <w:rPr>
          <w:rFonts w:hint="eastAsia"/>
          <w:lang w:bidi="ar"/>
        </w:rPr>
        <w:t>应用案例征集工作小组：王建强、刘荣振；</w:t>
      </w:r>
    </w:p>
    <w:p>
      <w:pPr>
        <w:pStyle w:val="30"/>
        <w:numPr>
          <w:ilvl w:val="0"/>
          <w:numId w:val="3"/>
        </w:numPr>
        <w:ind w:firstLineChars="0"/>
        <w:rPr>
          <w:lang w:bidi="ar"/>
        </w:rPr>
      </w:pPr>
      <w:r>
        <w:rPr>
          <w:rFonts w:hint="eastAsia"/>
          <w:lang w:bidi="ar"/>
        </w:rPr>
        <w:t>CAE计算工作小组：王永远、刘荣振、胡宏涛、代志同。</w:t>
      </w:r>
    </w:p>
    <w:p>
      <w:pPr>
        <w:rPr>
          <w:lang w:bidi="ar"/>
        </w:rPr>
      </w:pPr>
      <w:r>
        <w:rPr>
          <w:rFonts w:hint="eastAsia"/>
          <w:lang w:bidi="ar"/>
        </w:rPr>
        <w:t>（4）成员分工：</w:t>
      </w:r>
    </w:p>
    <w:p>
      <w:pPr>
        <w:pStyle w:val="30"/>
        <w:numPr>
          <w:ilvl w:val="0"/>
          <w:numId w:val="2"/>
        </w:numPr>
        <w:ind w:firstLineChars="0"/>
        <w:rPr>
          <w:lang w:bidi="ar"/>
        </w:rPr>
      </w:pPr>
      <w:r>
        <w:rPr>
          <w:rFonts w:hint="eastAsia"/>
          <w:lang w:bidi="ar"/>
        </w:rPr>
        <w:t>中交疏浚（集团）股份有限公司：总体协调，团标立项申请书编写，CAE计算边界条件分析，标准项目工作大纲、标准草案等团标流程文件内部审核（王永远）；</w:t>
      </w:r>
    </w:p>
    <w:p>
      <w:pPr>
        <w:pStyle w:val="30"/>
        <w:numPr>
          <w:ilvl w:val="0"/>
          <w:numId w:val="2"/>
        </w:numPr>
        <w:ind w:firstLineChars="0"/>
        <w:rPr>
          <w:lang w:bidi="ar"/>
        </w:rPr>
      </w:pPr>
      <w:r>
        <w:rPr>
          <w:rFonts w:hint="eastAsia"/>
          <w:lang w:bidi="ar"/>
        </w:rPr>
        <w:t>江苏巨鑫石油钢管有限公司：应用案例征集，不同结构型式排泥管线性价比分析、环保分析，标准项目工作大纲、标准草案等团标流程文件编写（王建强、李海军、洪宇）；</w:t>
      </w:r>
    </w:p>
    <w:p>
      <w:pPr>
        <w:pStyle w:val="30"/>
        <w:numPr>
          <w:ilvl w:val="0"/>
          <w:numId w:val="2"/>
        </w:numPr>
        <w:ind w:firstLineChars="0"/>
        <w:rPr>
          <w:lang w:bidi="ar"/>
        </w:rPr>
      </w:pPr>
      <w:r>
        <w:rPr>
          <w:rFonts w:hint="eastAsia"/>
          <w:lang w:bidi="ar"/>
        </w:rPr>
        <w:t>同济大学：不同管径排泥管对应法兰厚度力学分析，螺栓强度校核分析，结构强度有限元分析等CAE有限元模拟计算分析（訚耀保、胡宏涛、代志同）；</w:t>
      </w:r>
    </w:p>
    <w:p>
      <w:pPr>
        <w:pStyle w:val="33"/>
        <w:ind w:firstLine="560"/>
        <w:rPr>
          <w:lang w:bidi="ar"/>
        </w:rPr>
      </w:pPr>
      <w:r>
        <w:rPr>
          <w:rFonts w:hint="eastAsia"/>
          <w:lang w:bidi="ar"/>
        </w:rPr>
        <w:t>中交天津航道局有限公司：应用案例征集，排泥管结构型式调研分析，纸质密封圈技术分析，不同管径排泥管应用场景和现场工况分析，CAE计算边界条件分析（刘荣振）。</w:t>
      </w:r>
    </w:p>
    <w:p>
      <w:pPr>
        <w:pStyle w:val="2"/>
      </w:pPr>
      <w:r>
        <w:rPr>
          <w:rFonts w:hint="eastAsia"/>
          <w:lang w:bidi="ar"/>
        </w:rPr>
        <w:t>二、标准的编制原则和主要内容</w:t>
      </w:r>
    </w:p>
    <w:p>
      <w:pPr>
        <w:pStyle w:val="5"/>
      </w:pPr>
      <w:r>
        <w:rPr>
          <w:rFonts w:hint="eastAsia"/>
          <w:lang w:bidi="ar"/>
        </w:rPr>
        <w:t>2.1 标准编制的原则</w:t>
      </w:r>
    </w:p>
    <w:p>
      <w:pPr>
        <w:ind w:firstLine="560" w:firstLineChars="200"/>
        <w:rPr>
          <w:lang w:bidi="ar"/>
        </w:rPr>
      </w:pPr>
      <w:r>
        <w:rPr>
          <w:rFonts w:hint="eastAsia"/>
        </w:rPr>
        <w:t>本标准为技术标准，标准依照《GB/T 1.1-2020 标准化工作导则》有关要求进行编制，依据国内外钢管结构型式，以结构简单，安装便捷，经济实用为原则，参考标准《JT/T 1282-2019 钢质排泥管》第五条技术要求，第六条试验方法，第七条检验规则，第八条标志包装、运输和存储进行制作，根据实际施工工况做工况分析、可行性分析及结构力学分析，制定一套完整的符合疏浚施工需求的无筋板平面法兰标准。</w:t>
      </w:r>
    </w:p>
    <w:p>
      <w:pPr>
        <w:pStyle w:val="5"/>
      </w:pPr>
      <w:r>
        <w:rPr>
          <w:rFonts w:hint="eastAsia"/>
          <w:lang w:bidi="ar"/>
        </w:rPr>
        <w:t>2.2 标准主要内容</w:t>
      </w:r>
    </w:p>
    <w:p>
      <w:pPr>
        <w:ind w:firstLine="560" w:firstLineChars="200"/>
      </w:pPr>
      <w:r>
        <w:rPr>
          <w:rFonts w:hint="eastAsia"/>
        </w:rPr>
        <w:t>以国内、外疏浚钢管结构型式为基础研究资料，以同济大学计算分析的结论为技术支撑，结合实际生产需要，综合分析出最经济实用的疏浚钢管结构型式，制定完整的制造和验收要求，编制团体标准《疏浚工程用无筋板平面法兰钢管》。</w:t>
      </w:r>
    </w:p>
    <w:p>
      <w:pPr>
        <w:pStyle w:val="30"/>
        <w:numPr>
          <w:ilvl w:val="0"/>
          <w:numId w:val="4"/>
        </w:numPr>
        <w:ind w:left="560" w:leftChars="200" w:firstLineChars="0"/>
      </w:pPr>
      <w:r>
        <w:rPr>
          <w:rFonts w:hint="eastAsia"/>
        </w:rPr>
        <w:t>团标制作的意义和依据、编制人员、引用标准；</w:t>
      </w:r>
    </w:p>
    <w:p>
      <w:pPr>
        <w:pStyle w:val="30"/>
        <w:numPr>
          <w:ilvl w:val="0"/>
          <w:numId w:val="4"/>
        </w:numPr>
        <w:ind w:left="560" w:leftChars="200" w:firstLineChars="0"/>
      </w:pPr>
      <w:r>
        <w:rPr>
          <w:rFonts w:hint="eastAsia"/>
        </w:rPr>
        <w:t>钢管标识要求；</w:t>
      </w:r>
    </w:p>
    <w:p>
      <w:pPr>
        <w:pStyle w:val="30"/>
        <w:numPr>
          <w:ilvl w:val="0"/>
          <w:numId w:val="4"/>
        </w:numPr>
        <w:ind w:left="560" w:leftChars="200" w:firstLineChars="0"/>
      </w:pPr>
      <w:r>
        <w:rPr>
          <w:rFonts w:hint="eastAsia"/>
        </w:rPr>
        <w:t>钢管结构型式、尺寸要求；</w:t>
      </w:r>
    </w:p>
    <w:p>
      <w:pPr>
        <w:pStyle w:val="30"/>
        <w:numPr>
          <w:ilvl w:val="0"/>
          <w:numId w:val="4"/>
        </w:numPr>
        <w:ind w:left="560" w:leftChars="200" w:firstLineChars="0"/>
      </w:pPr>
      <w:r>
        <w:rPr>
          <w:rFonts w:hint="eastAsia"/>
        </w:rPr>
        <w:t>钢管加工要求；</w:t>
      </w:r>
    </w:p>
    <w:p>
      <w:pPr>
        <w:pStyle w:val="30"/>
        <w:numPr>
          <w:ilvl w:val="0"/>
          <w:numId w:val="4"/>
        </w:numPr>
        <w:ind w:left="560" w:leftChars="200" w:firstLineChars="0"/>
      </w:pPr>
      <w:r>
        <w:rPr>
          <w:rFonts w:hint="eastAsia"/>
        </w:rPr>
        <w:t>钢管验收方法；</w:t>
      </w:r>
    </w:p>
    <w:p>
      <w:pPr>
        <w:pStyle w:val="30"/>
        <w:numPr>
          <w:ilvl w:val="0"/>
          <w:numId w:val="4"/>
        </w:numPr>
        <w:ind w:left="560" w:leftChars="200" w:firstLineChars="0"/>
      </w:pPr>
      <w:r>
        <w:rPr>
          <w:rFonts w:hint="eastAsia"/>
        </w:rPr>
        <w:t>交货包装和运输要求。</w:t>
      </w:r>
    </w:p>
    <w:p>
      <w:pPr>
        <w:pStyle w:val="5"/>
      </w:pPr>
      <w:r>
        <w:rPr>
          <w:rFonts w:hint="eastAsia"/>
          <w:lang w:bidi="ar"/>
        </w:rPr>
        <w:t>2.3主要内容说明</w:t>
      </w:r>
    </w:p>
    <w:p>
      <w:pPr>
        <w:pStyle w:val="6"/>
        <w:ind w:firstLine="560"/>
      </w:pPr>
      <w:bookmarkStart w:id="1" w:name="_Toc27039"/>
      <w:bookmarkStart w:id="2" w:name="_Toc15837"/>
      <w:bookmarkStart w:id="3" w:name="_Toc9998"/>
      <w:bookmarkStart w:id="4" w:name="_Toc7310"/>
      <w:bookmarkStart w:id="5" w:name="_Toc3954"/>
      <w:bookmarkStart w:id="6" w:name="_Toc18128"/>
      <w:bookmarkStart w:id="7" w:name="_Toc496701914"/>
      <w:bookmarkStart w:id="8" w:name="_Toc20783"/>
      <w:bookmarkStart w:id="9" w:name="_Toc30007"/>
      <w:bookmarkStart w:id="10" w:name="_Toc25981"/>
      <w:bookmarkStart w:id="11" w:name="_Toc496701913"/>
      <w:bookmarkStart w:id="12" w:name="_Toc12010"/>
      <w:r>
        <w:rPr>
          <w:rFonts w:hint="eastAsia"/>
        </w:rPr>
        <w:t xml:space="preserve"> </w:t>
      </w:r>
      <w:bookmarkEnd w:id="1"/>
      <w:r>
        <w:rPr>
          <w:rFonts w:hint="eastAsia"/>
        </w:rPr>
        <w:t>2.3.1范围</w:t>
      </w:r>
    </w:p>
    <w:p>
      <w:pPr>
        <w:pStyle w:val="34"/>
        <w:spacing w:line="500" w:lineRule="exact"/>
        <w:ind w:firstLine="560"/>
        <w:rPr>
          <w:rFonts w:hAnsi="宋体" w:cs="宋体"/>
          <w:sz w:val="28"/>
          <w:szCs w:val="28"/>
          <w:lang w:bidi="ar"/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本文件规定了</w:t>
      </w:r>
      <w:bookmarkStart w:id="13" w:name="OLE_LINK4"/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疏浚工程用无筋板平面法兰钢管</w:t>
      </w:r>
      <w:bookmarkEnd w:id="13"/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的结构及标识、技术要求、试验方法、检验规则和交付文件，适用于疏浚工程用无筋板平面法兰钢管的设计、制造和验收。</w:t>
      </w:r>
    </w:p>
    <w:p>
      <w:pPr>
        <w:pStyle w:val="6"/>
        <w:ind w:firstLine="560"/>
      </w:pPr>
      <w:r>
        <w:rPr>
          <w:rFonts w:hint="eastAsia"/>
        </w:rPr>
        <w:t xml:space="preserve"> </w:t>
      </w:r>
      <w:bookmarkEnd w:id="2"/>
      <w:r>
        <w:rPr>
          <w:rFonts w:hint="eastAsia"/>
        </w:rPr>
        <w:t>2.3.2规范性引用文件</w:t>
      </w:r>
    </w:p>
    <w:p>
      <w:pPr>
        <w:pStyle w:val="32"/>
        <w:ind w:firstLine="560"/>
        <w:rPr>
          <w:bCs/>
        </w:rPr>
      </w:pPr>
      <w:r>
        <w:rPr>
          <w:rFonts w:hint="eastAsia"/>
          <w:lang w:bidi="ar"/>
        </w:rPr>
        <w:t>本部分主要内容为引用现行标准，使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疏浚工程用无筋板平面法兰钢管的</w:t>
      </w:r>
      <w:r>
        <w:rPr>
          <w:rFonts w:hint="eastAsia"/>
          <w:lang w:bidi="ar"/>
        </w:rPr>
        <w:t>制作和验收满足要求。</w:t>
      </w:r>
    </w:p>
    <w:p>
      <w:pPr>
        <w:pStyle w:val="6"/>
        <w:ind w:firstLine="560"/>
      </w:pPr>
      <w:r>
        <w:rPr>
          <w:rFonts w:hint="eastAsia"/>
        </w:rPr>
        <w:t xml:space="preserve"> 2.3.3术语和定语</w:t>
      </w:r>
    </w:p>
    <w:p>
      <w:pPr>
        <w:ind w:firstLine="560" w:firstLineChars="200"/>
        <w:rPr>
          <w:b/>
        </w:rPr>
      </w:pPr>
      <w:bookmarkStart w:id="14" w:name="OLE_LINK5"/>
      <w:r>
        <w:rPr>
          <w:rFonts w:hint="eastAsia"/>
          <w:lang w:bidi="ar"/>
        </w:rPr>
        <w:t>本部分主要内容为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疏浚工程用无筋板平面法兰钢管</w:t>
      </w:r>
      <w:r>
        <w:rPr>
          <w:rFonts w:hint="eastAsia"/>
          <w:lang w:bidi="ar"/>
        </w:rPr>
        <w:t>的术语和定义、结构组成、检验项目。</w:t>
      </w:r>
      <w:bookmarkEnd w:id="14"/>
    </w:p>
    <w:p>
      <w:pPr>
        <w:pStyle w:val="6"/>
        <w:ind w:firstLine="560"/>
      </w:pPr>
      <w:r>
        <w:rPr>
          <w:rFonts w:hint="eastAsia"/>
        </w:rPr>
        <w:t xml:space="preserve"> 2.3.4符号</w:t>
      </w:r>
    </w:p>
    <w:p>
      <w:pPr>
        <w:pStyle w:val="32"/>
        <w:ind w:firstLine="560"/>
        <w:rPr>
          <w:rFonts w:ascii="宋体" w:hAnsi="宋体" w:cs="宋体"/>
          <w:b/>
        </w:rPr>
      </w:pPr>
      <w:bookmarkStart w:id="15" w:name="OLE_LINK6"/>
      <w:r>
        <w:rPr>
          <w:rFonts w:hint="eastAsia" w:ascii="宋体" w:hAnsi="宋体" w:cs="宋体"/>
          <w:lang w:bidi="ar"/>
        </w:rPr>
        <w:t>本部分主要内容为</w:t>
      </w:r>
      <w:r>
        <w:rPr>
          <w:rFonts w:hint="eastAsia"/>
        </w:rPr>
        <w:t>疏浚工程用无筋板平面法兰钢管</w:t>
      </w:r>
      <w:bookmarkEnd w:id="15"/>
      <w:r>
        <w:rPr>
          <w:rFonts w:hint="eastAsia"/>
        </w:rPr>
        <w:t>尺寸代号</w:t>
      </w:r>
      <w:r>
        <w:rPr>
          <w:rFonts w:hint="eastAsia" w:ascii="宋体" w:hAnsi="宋体" w:cs="宋体"/>
          <w:lang w:bidi="ar"/>
        </w:rPr>
        <w:t>。</w:t>
      </w:r>
    </w:p>
    <w:p>
      <w:pPr>
        <w:pStyle w:val="6"/>
        <w:ind w:firstLine="560"/>
      </w:pPr>
      <w:r>
        <w:rPr>
          <w:rFonts w:hint="eastAsia"/>
        </w:rPr>
        <w:t xml:space="preserve"> 2.3.5结构及标记</w:t>
      </w:r>
    </w:p>
    <w:p>
      <w:pPr>
        <w:pStyle w:val="32"/>
        <w:ind w:firstLine="560"/>
        <w:rPr>
          <w:rFonts w:ascii="宋体" w:hAnsi="宋体" w:cs="宋体"/>
          <w:b/>
        </w:rPr>
      </w:pPr>
      <w:r>
        <w:rPr>
          <w:rFonts w:hint="eastAsia" w:ascii="宋体" w:hAnsi="宋体" w:cs="宋体"/>
          <w:lang w:bidi="ar"/>
        </w:rPr>
        <w:t>本部分主要内容为</w:t>
      </w:r>
      <w:r>
        <w:rPr>
          <w:rFonts w:hint="eastAsia"/>
        </w:rPr>
        <w:t>疏浚工程用无筋板平面法兰钢管的结构形式、规格、标记方式等。</w:t>
      </w:r>
    </w:p>
    <w:p>
      <w:pPr>
        <w:pStyle w:val="6"/>
        <w:ind w:firstLine="560"/>
      </w:pPr>
      <w:r>
        <w:rPr>
          <w:rFonts w:hint="eastAsia"/>
        </w:rPr>
        <w:t xml:space="preserve"> 2.3.6技术要求</w:t>
      </w:r>
    </w:p>
    <w:p>
      <w:pPr>
        <w:pStyle w:val="32"/>
        <w:ind w:firstLine="560"/>
        <w:rPr>
          <w:rFonts w:ascii="宋体" w:hAnsi="宋体" w:cs="宋体"/>
          <w:b/>
        </w:rPr>
      </w:pPr>
      <w:r>
        <w:rPr>
          <w:rFonts w:hint="eastAsia" w:ascii="宋体" w:hAnsi="宋体" w:cs="宋体"/>
          <w:lang w:bidi="ar"/>
        </w:rPr>
        <w:t>本部分主要内容规定了</w:t>
      </w:r>
      <w:r>
        <w:rPr>
          <w:rFonts w:hint="eastAsia"/>
        </w:rPr>
        <w:t>疏浚工程用无筋板平面法兰钢管的材料要求、外观要求及尺寸公差要求等。</w:t>
      </w:r>
    </w:p>
    <w:p>
      <w:pPr>
        <w:pStyle w:val="6"/>
        <w:ind w:firstLine="560"/>
      </w:pPr>
      <w:r>
        <w:rPr>
          <w:rFonts w:hint="eastAsia"/>
        </w:rPr>
        <w:t xml:space="preserve"> 2.3.7试验方法</w:t>
      </w:r>
    </w:p>
    <w:p>
      <w:pPr>
        <w:pStyle w:val="32"/>
        <w:ind w:firstLine="560"/>
        <w:rPr>
          <w:rFonts w:ascii="宋体" w:hAnsi="宋体" w:cs="宋体"/>
          <w:b/>
        </w:rPr>
      </w:pPr>
      <w:r>
        <w:rPr>
          <w:rFonts w:hint="eastAsia" w:ascii="宋体" w:hAnsi="宋体" w:cs="宋体"/>
          <w:lang w:bidi="ar"/>
        </w:rPr>
        <w:t>本部分主要内容为</w:t>
      </w:r>
      <w:r>
        <w:rPr>
          <w:rFonts w:hint="eastAsia"/>
        </w:rPr>
        <w:t>疏浚工程用无筋板平面法兰钢管检验内容和检验方法。</w:t>
      </w:r>
    </w:p>
    <w:p>
      <w:pPr>
        <w:pStyle w:val="6"/>
        <w:ind w:firstLine="560"/>
      </w:pPr>
      <w:r>
        <w:rPr>
          <w:rFonts w:hint="eastAsia"/>
        </w:rPr>
        <w:t xml:space="preserve"> 2.3.8检验规则</w:t>
      </w:r>
    </w:p>
    <w:p>
      <w:pPr>
        <w:pStyle w:val="32"/>
        <w:ind w:firstLine="560"/>
        <w:rPr>
          <w:rFonts w:ascii="宋体" w:hAnsi="宋体" w:cs="宋体"/>
          <w:b/>
        </w:rPr>
      </w:pPr>
      <w:r>
        <w:rPr>
          <w:rFonts w:hint="eastAsia" w:ascii="宋体" w:hAnsi="宋体" w:cs="宋体"/>
          <w:lang w:bidi="ar"/>
        </w:rPr>
        <w:t>本部分主要内容为</w:t>
      </w:r>
      <w:r>
        <w:rPr>
          <w:rFonts w:hint="eastAsia"/>
        </w:rPr>
        <w:t>疏浚工程用无筋板平面法兰钢管的检验分类，批次。</w:t>
      </w:r>
    </w:p>
    <w:p>
      <w:pPr>
        <w:pStyle w:val="6"/>
        <w:ind w:firstLine="560"/>
      </w:pPr>
      <w:r>
        <w:rPr>
          <w:rFonts w:hint="eastAsia"/>
        </w:rPr>
        <w:t xml:space="preserve"> 2.3.9交付文件</w:t>
      </w:r>
    </w:p>
    <w:p>
      <w:pPr>
        <w:pStyle w:val="32"/>
        <w:ind w:firstLine="560"/>
        <w:rPr>
          <w:rFonts w:ascii="宋体" w:hAnsi="宋体" w:cs="宋体"/>
          <w:b/>
        </w:rPr>
      </w:pPr>
      <w:r>
        <w:rPr>
          <w:rFonts w:hint="eastAsia" w:ascii="宋体" w:hAnsi="宋体" w:cs="宋体"/>
          <w:lang w:bidi="ar"/>
        </w:rPr>
        <w:t>本部分主要内容为</w:t>
      </w:r>
      <w:r>
        <w:rPr>
          <w:rFonts w:hint="eastAsia"/>
        </w:rPr>
        <w:t>疏浚工程用无筋板平面法兰钢管出厂时竣工资料的要求。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>
      <w:pPr>
        <w:pStyle w:val="5"/>
      </w:pPr>
      <w:r>
        <w:rPr>
          <w:rFonts w:hint="eastAsia"/>
        </w:rPr>
        <w:t>2.4 解决的问题</w:t>
      </w:r>
    </w:p>
    <w:p>
      <w:pPr>
        <w:ind w:firstLine="560" w:firstLineChars="200"/>
        <w:rPr>
          <w:lang w:bidi="ar"/>
        </w:rPr>
      </w:pPr>
      <w:r>
        <w:rPr>
          <w:rFonts w:hint="eastAsia"/>
          <w:lang w:bidi="ar"/>
        </w:rPr>
        <w:t>通过本标准的编制，能够提高生产效率，降低成本，减少制作周期，进一步提高行业的通用性和适用性。</w:t>
      </w:r>
    </w:p>
    <w:p>
      <w:pPr>
        <w:pStyle w:val="2"/>
        <w:rPr>
          <w:lang w:bidi="ar"/>
        </w:rPr>
      </w:pPr>
      <w:r>
        <w:rPr>
          <w:rFonts w:hint="eastAsia"/>
          <w:lang w:bidi="ar"/>
        </w:rPr>
        <w:t>三、主要试验（验证）的分析、综述报告，技术经济论证，预期的经济效果</w:t>
      </w:r>
    </w:p>
    <w:p>
      <w:pPr>
        <w:ind w:firstLine="560" w:firstLineChars="200"/>
        <w:rPr>
          <w:lang w:bidi="ar"/>
        </w:rPr>
      </w:pPr>
      <w:r>
        <w:rPr>
          <w:rFonts w:hint="eastAsia"/>
          <w:lang w:bidi="ar"/>
        </w:rPr>
        <w:t>（1）统一疏浚钢管接口尺寸。结合疏浚钢管的设计和使用要求，集合国内外疏浚钢管产品结构型式特点，突出“经济性、适配性、可靠性”原则，形成一套涵盖各管径疏浚钢管的接口尺寸的团体标准；</w:t>
      </w:r>
    </w:p>
    <w:p>
      <w:pPr>
        <w:ind w:firstLine="560" w:firstLineChars="200"/>
        <w:rPr>
          <w:lang w:bidi="ar"/>
        </w:rPr>
      </w:pPr>
      <w:r>
        <w:rPr>
          <w:rFonts w:hint="eastAsia"/>
          <w:lang w:bidi="ar"/>
        </w:rPr>
        <w:t>（2）突出经济性，兼顾环保性。设计中在保证结构强度的前提下，减少冗余结构济的使用。加工中采用更经环保的加工工艺，降低成本，提高效率；</w:t>
      </w:r>
    </w:p>
    <w:p>
      <w:pPr>
        <w:ind w:firstLine="560" w:firstLineChars="200"/>
        <w:rPr>
          <w:lang w:bidi="ar"/>
        </w:rPr>
      </w:pPr>
      <w:r>
        <w:rPr>
          <w:rFonts w:hint="eastAsia"/>
          <w:lang w:bidi="ar"/>
        </w:rPr>
        <w:t>（3）探索智能制造。</w:t>
      </w:r>
    </w:p>
    <w:p>
      <w:pPr>
        <w:ind w:firstLine="560" w:firstLineChars="200"/>
        <w:rPr>
          <w:lang w:bidi="ar"/>
        </w:rPr>
      </w:pPr>
      <w:r>
        <w:rPr>
          <w:rFonts w:hint="eastAsia"/>
          <w:lang w:bidi="ar"/>
        </w:rPr>
        <w:t>（4）建立一套通用、实用、经济性好的标准体系，在行业内推广应用。</w:t>
      </w:r>
    </w:p>
    <w:p>
      <w:pPr>
        <w:pStyle w:val="2"/>
        <w:rPr>
          <w:lang w:bidi="ar"/>
        </w:rPr>
      </w:pPr>
      <w:r>
        <w:rPr>
          <w:rFonts w:hint="eastAsia"/>
          <w:lang w:bidi="ar"/>
        </w:rPr>
        <w:t>四、采用国际标准和国外先进标准的程度，以及与国际、国外同类标准水平的对比情况，或与测试的国外样品、样机的有关数据对比情况</w:t>
      </w:r>
    </w:p>
    <w:p>
      <w:pPr>
        <w:ind w:firstLine="560" w:firstLineChars="200"/>
        <w:rPr>
          <w:kern w:val="0"/>
          <w:lang w:bidi="ar"/>
        </w:rPr>
      </w:pPr>
      <w:r>
        <w:rPr>
          <w:rFonts w:hint="eastAsia"/>
          <w:lang w:bidi="ar"/>
        </w:rPr>
        <w:t>本文件无对应的国际标准</w:t>
      </w:r>
      <w:r>
        <w:rPr>
          <w:rFonts w:hint="eastAsia"/>
          <w:kern w:val="0"/>
          <w:lang w:bidi="ar"/>
        </w:rPr>
        <w:t>。</w:t>
      </w:r>
    </w:p>
    <w:p>
      <w:pPr>
        <w:pStyle w:val="2"/>
        <w:rPr>
          <w:lang w:bidi="ar"/>
        </w:rPr>
      </w:pPr>
      <w:r>
        <w:rPr>
          <w:rFonts w:hint="eastAsia"/>
          <w:lang w:bidi="ar"/>
        </w:rPr>
        <w:t>五、与有关的现行法律、法规和强制性标准的关系</w:t>
      </w:r>
    </w:p>
    <w:p>
      <w:pPr>
        <w:ind w:firstLine="560" w:firstLineChars="200"/>
      </w:pPr>
      <w:r>
        <w:rPr>
          <w:rFonts w:hint="eastAsia"/>
          <w:lang w:bidi="ar"/>
        </w:rPr>
        <w:t>本标准与现行相关法律、法规、规章及相关标准协调一致。</w:t>
      </w:r>
    </w:p>
    <w:p>
      <w:pPr>
        <w:pStyle w:val="2"/>
      </w:pPr>
      <w:r>
        <w:rPr>
          <w:rFonts w:hint="eastAsia"/>
          <w:lang w:bidi="ar"/>
        </w:rPr>
        <w:t>六、重大分歧意见的处理经过和依据</w:t>
      </w:r>
    </w:p>
    <w:p>
      <w:pPr>
        <w:ind w:firstLine="560" w:firstLineChars="200"/>
      </w:pPr>
      <w:r>
        <w:rPr>
          <w:rFonts w:hint="eastAsia"/>
          <w:lang w:bidi="ar"/>
        </w:rPr>
        <w:t>本标准在制定过程中无重大分歧。</w:t>
      </w:r>
    </w:p>
    <w:p>
      <w:pPr>
        <w:pStyle w:val="2"/>
        <w:rPr>
          <w:color w:val="000000"/>
        </w:rPr>
      </w:pPr>
      <w:r>
        <w:rPr>
          <w:rFonts w:hint="eastAsia"/>
          <w:color w:val="000000"/>
          <w:lang w:bidi="ar"/>
        </w:rPr>
        <w:t>七、</w:t>
      </w:r>
      <w:r>
        <w:rPr>
          <w:rFonts w:hint="eastAsia"/>
          <w:lang w:bidi="ar"/>
        </w:rPr>
        <w:t>预期达到的社会效益、对产业发展的作用等情况</w:t>
      </w:r>
    </w:p>
    <w:p>
      <w:pPr>
        <w:ind w:firstLine="560" w:firstLineChars="200"/>
      </w:pPr>
      <w:r>
        <w:rPr>
          <w:rFonts w:hint="eastAsia"/>
        </w:rPr>
        <w:t>本标准的发布实施，能够缩短制造周期，降低生产成本，提高经济效益。</w:t>
      </w:r>
    </w:p>
    <w:p>
      <w:pPr>
        <w:pStyle w:val="2"/>
        <w:rPr>
          <w:lang w:bidi="ar"/>
        </w:rPr>
      </w:pPr>
      <w:r>
        <w:rPr>
          <w:rFonts w:hint="eastAsia"/>
          <w:lang w:bidi="ar"/>
        </w:rPr>
        <w:t>八、贯彻疏浚协会团体标准的要求和措施建议（包括组织措施、技术措施、过渡办法等内容）</w:t>
      </w:r>
    </w:p>
    <w:p>
      <w:pPr>
        <w:ind w:firstLine="560" w:firstLineChars="200"/>
      </w:pPr>
      <w:r>
        <w:rPr>
          <w:rFonts w:hint="eastAsia"/>
          <w:lang w:bidi="ar"/>
        </w:rPr>
        <w:t>本标准适用于疏浚钢管的检验和生产各单位，疏浚钢管的设计部门也可参考使用，建议本标准自批准发布之日起贯彻实施。</w:t>
      </w:r>
    </w:p>
    <w:p>
      <w:pPr>
        <w:pStyle w:val="2"/>
      </w:pPr>
      <w:r>
        <w:rPr>
          <w:rFonts w:hint="eastAsia"/>
          <w:lang w:bidi="ar"/>
        </w:rPr>
        <w:t>九、废止现行相关标准的建议</w:t>
      </w:r>
    </w:p>
    <w:p>
      <w:pPr>
        <w:ind w:firstLine="560" w:firstLineChars="200"/>
      </w:pPr>
      <w:r>
        <w:rPr>
          <w:rFonts w:hint="eastAsia"/>
          <w:lang w:bidi="ar"/>
        </w:rPr>
        <w:t>无。</w:t>
      </w:r>
    </w:p>
    <w:p>
      <w:pPr>
        <w:pStyle w:val="2"/>
      </w:pPr>
      <w:r>
        <w:rPr>
          <w:rFonts w:hint="eastAsia"/>
          <w:lang w:bidi="ar"/>
        </w:rPr>
        <w:t>十、其他应予说明的事项</w:t>
      </w:r>
    </w:p>
    <w:p>
      <w:pPr>
        <w:ind w:firstLine="560" w:firstLineChars="200"/>
      </w:pPr>
      <w:r>
        <w:rPr>
          <w:rFonts w:hint="eastAsia"/>
          <w:lang w:bidi="ar"/>
        </w:rPr>
        <w:t>无。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3196A"/>
    <w:multiLevelType w:val="multilevel"/>
    <w:tmpl w:val="0003196A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0795124F"/>
    <w:multiLevelType w:val="multilevel"/>
    <w:tmpl w:val="0795124F"/>
    <w:lvl w:ilvl="0" w:tentative="0">
      <w:start w:val="1"/>
      <w:numFmt w:val="decimal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3F462625"/>
    <w:multiLevelType w:val="multilevel"/>
    <w:tmpl w:val="3F462625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74193C4C"/>
    <w:multiLevelType w:val="multilevel"/>
    <w:tmpl w:val="74193C4C"/>
    <w:lvl w:ilvl="0" w:tentative="0">
      <w:start w:val="1"/>
      <w:numFmt w:val="bullet"/>
      <w:pStyle w:val="33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FkMjc4YmM4YWVkZjhjODRhZGI2MTQ2YTA2OTQzZGMifQ=="/>
  </w:docVars>
  <w:rsids>
    <w:rsidRoot w:val="00AC25C4"/>
    <w:rsid w:val="0000124E"/>
    <w:rsid w:val="00003113"/>
    <w:rsid w:val="00010293"/>
    <w:rsid w:val="00011E96"/>
    <w:rsid w:val="00013FB2"/>
    <w:rsid w:val="00014DA3"/>
    <w:rsid w:val="000164A9"/>
    <w:rsid w:val="00023E3E"/>
    <w:rsid w:val="00024594"/>
    <w:rsid w:val="00026394"/>
    <w:rsid w:val="00031009"/>
    <w:rsid w:val="00031126"/>
    <w:rsid w:val="00031255"/>
    <w:rsid w:val="00031370"/>
    <w:rsid w:val="00032CA1"/>
    <w:rsid w:val="0003418F"/>
    <w:rsid w:val="00036C36"/>
    <w:rsid w:val="00036EE6"/>
    <w:rsid w:val="000407C4"/>
    <w:rsid w:val="00041670"/>
    <w:rsid w:val="000418E0"/>
    <w:rsid w:val="00050977"/>
    <w:rsid w:val="00053C70"/>
    <w:rsid w:val="000601AB"/>
    <w:rsid w:val="00063C45"/>
    <w:rsid w:val="00064592"/>
    <w:rsid w:val="00064DBE"/>
    <w:rsid w:val="00064FB2"/>
    <w:rsid w:val="00066D3E"/>
    <w:rsid w:val="00070250"/>
    <w:rsid w:val="000715AB"/>
    <w:rsid w:val="000737E3"/>
    <w:rsid w:val="00074238"/>
    <w:rsid w:val="000745B7"/>
    <w:rsid w:val="0007532D"/>
    <w:rsid w:val="00075416"/>
    <w:rsid w:val="00077FFC"/>
    <w:rsid w:val="000804BA"/>
    <w:rsid w:val="00081CA4"/>
    <w:rsid w:val="00092483"/>
    <w:rsid w:val="00093A9C"/>
    <w:rsid w:val="00093E65"/>
    <w:rsid w:val="00095C83"/>
    <w:rsid w:val="000A08C7"/>
    <w:rsid w:val="000A21A9"/>
    <w:rsid w:val="000A3872"/>
    <w:rsid w:val="000A4C46"/>
    <w:rsid w:val="000A51DC"/>
    <w:rsid w:val="000A5726"/>
    <w:rsid w:val="000A5841"/>
    <w:rsid w:val="000A5B07"/>
    <w:rsid w:val="000A5E23"/>
    <w:rsid w:val="000A6789"/>
    <w:rsid w:val="000B22A7"/>
    <w:rsid w:val="000B2649"/>
    <w:rsid w:val="000B2BDA"/>
    <w:rsid w:val="000B2F96"/>
    <w:rsid w:val="000B63FC"/>
    <w:rsid w:val="000B70CE"/>
    <w:rsid w:val="000B7B24"/>
    <w:rsid w:val="000B7EE7"/>
    <w:rsid w:val="000C0F7D"/>
    <w:rsid w:val="000C138C"/>
    <w:rsid w:val="000C1956"/>
    <w:rsid w:val="000C4F43"/>
    <w:rsid w:val="000C5152"/>
    <w:rsid w:val="000D12CB"/>
    <w:rsid w:val="000D1C75"/>
    <w:rsid w:val="000D20DF"/>
    <w:rsid w:val="000D28B4"/>
    <w:rsid w:val="000D2B93"/>
    <w:rsid w:val="000D2C0E"/>
    <w:rsid w:val="000D2F48"/>
    <w:rsid w:val="000D330F"/>
    <w:rsid w:val="000D4DB6"/>
    <w:rsid w:val="000D4E55"/>
    <w:rsid w:val="000D5AC5"/>
    <w:rsid w:val="000D6876"/>
    <w:rsid w:val="000D6AA8"/>
    <w:rsid w:val="000D739F"/>
    <w:rsid w:val="000E0573"/>
    <w:rsid w:val="000E0622"/>
    <w:rsid w:val="000E18DA"/>
    <w:rsid w:val="000E332F"/>
    <w:rsid w:val="000E369D"/>
    <w:rsid w:val="000E404F"/>
    <w:rsid w:val="000E4336"/>
    <w:rsid w:val="000E4C72"/>
    <w:rsid w:val="000E6A36"/>
    <w:rsid w:val="000E7826"/>
    <w:rsid w:val="000F12AE"/>
    <w:rsid w:val="000F2F66"/>
    <w:rsid w:val="000F535C"/>
    <w:rsid w:val="000F554B"/>
    <w:rsid w:val="000F72AF"/>
    <w:rsid w:val="00100767"/>
    <w:rsid w:val="0010173C"/>
    <w:rsid w:val="00102F47"/>
    <w:rsid w:val="00104591"/>
    <w:rsid w:val="00104DDC"/>
    <w:rsid w:val="001063B0"/>
    <w:rsid w:val="00107AFD"/>
    <w:rsid w:val="00110D38"/>
    <w:rsid w:val="001206F7"/>
    <w:rsid w:val="00121585"/>
    <w:rsid w:val="00121D58"/>
    <w:rsid w:val="00123FB0"/>
    <w:rsid w:val="001258AF"/>
    <w:rsid w:val="001261C3"/>
    <w:rsid w:val="00131742"/>
    <w:rsid w:val="001318AF"/>
    <w:rsid w:val="00133986"/>
    <w:rsid w:val="0013454B"/>
    <w:rsid w:val="00135176"/>
    <w:rsid w:val="00135948"/>
    <w:rsid w:val="00140514"/>
    <w:rsid w:val="001418D3"/>
    <w:rsid w:val="00141D99"/>
    <w:rsid w:val="00144997"/>
    <w:rsid w:val="00144DDD"/>
    <w:rsid w:val="00146E4F"/>
    <w:rsid w:val="001504F9"/>
    <w:rsid w:val="00151A4E"/>
    <w:rsid w:val="001523E4"/>
    <w:rsid w:val="0015463E"/>
    <w:rsid w:val="00154E69"/>
    <w:rsid w:val="00154F14"/>
    <w:rsid w:val="0015573A"/>
    <w:rsid w:val="00155F67"/>
    <w:rsid w:val="001609B6"/>
    <w:rsid w:val="001614CD"/>
    <w:rsid w:val="00163A8B"/>
    <w:rsid w:val="0016617D"/>
    <w:rsid w:val="00166664"/>
    <w:rsid w:val="0016777B"/>
    <w:rsid w:val="0016798C"/>
    <w:rsid w:val="001738A0"/>
    <w:rsid w:val="00174EAA"/>
    <w:rsid w:val="00176005"/>
    <w:rsid w:val="00184ABC"/>
    <w:rsid w:val="00185103"/>
    <w:rsid w:val="0018533E"/>
    <w:rsid w:val="00186F79"/>
    <w:rsid w:val="001910DC"/>
    <w:rsid w:val="00191D1E"/>
    <w:rsid w:val="00193C80"/>
    <w:rsid w:val="00193DB8"/>
    <w:rsid w:val="00193FE5"/>
    <w:rsid w:val="00194532"/>
    <w:rsid w:val="00196085"/>
    <w:rsid w:val="0019631A"/>
    <w:rsid w:val="001975DD"/>
    <w:rsid w:val="001A0D80"/>
    <w:rsid w:val="001A3AD9"/>
    <w:rsid w:val="001A3C99"/>
    <w:rsid w:val="001A42CD"/>
    <w:rsid w:val="001A4B0C"/>
    <w:rsid w:val="001A6CD3"/>
    <w:rsid w:val="001A7DA6"/>
    <w:rsid w:val="001B44CD"/>
    <w:rsid w:val="001B708D"/>
    <w:rsid w:val="001B7BCC"/>
    <w:rsid w:val="001B7CA3"/>
    <w:rsid w:val="001C0028"/>
    <w:rsid w:val="001C0673"/>
    <w:rsid w:val="001C1F0E"/>
    <w:rsid w:val="001C3B2D"/>
    <w:rsid w:val="001C61DF"/>
    <w:rsid w:val="001C7909"/>
    <w:rsid w:val="001D2D0E"/>
    <w:rsid w:val="001D404F"/>
    <w:rsid w:val="001D65AC"/>
    <w:rsid w:val="001D6C19"/>
    <w:rsid w:val="001D7597"/>
    <w:rsid w:val="001D7DAE"/>
    <w:rsid w:val="001E030C"/>
    <w:rsid w:val="001E115A"/>
    <w:rsid w:val="001E2503"/>
    <w:rsid w:val="001E3AC5"/>
    <w:rsid w:val="001E3E66"/>
    <w:rsid w:val="001E625D"/>
    <w:rsid w:val="001F0004"/>
    <w:rsid w:val="001F075A"/>
    <w:rsid w:val="001F0B60"/>
    <w:rsid w:val="001F1347"/>
    <w:rsid w:val="001F2AFD"/>
    <w:rsid w:val="001F2D6B"/>
    <w:rsid w:val="001F2EC5"/>
    <w:rsid w:val="001F3F5C"/>
    <w:rsid w:val="001F4A9C"/>
    <w:rsid w:val="002016A8"/>
    <w:rsid w:val="00201F63"/>
    <w:rsid w:val="00204B8C"/>
    <w:rsid w:val="00204BA4"/>
    <w:rsid w:val="00205B08"/>
    <w:rsid w:val="00206FC3"/>
    <w:rsid w:val="00213DF8"/>
    <w:rsid w:val="0021786B"/>
    <w:rsid w:val="00220BF1"/>
    <w:rsid w:val="00223A97"/>
    <w:rsid w:val="002243E6"/>
    <w:rsid w:val="0022589C"/>
    <w:rsid w:val="002269F8"/>
    <w:rsid w:val="00226CD6"/>
    <w:rsid w:val="002273BF"/>
    <w:rsid w:val="0022785B"/>
    <w:rsid w:val="00231A34"/>
    <w:rsid w:val="00232629"/>
    <w:rsid w:val="002338DB"/>
    <w:rsid w:val="00236B5E"/>
    <w:rsid w:val="00240E23"/>
    <w:rsid w:val="0024103F"/>
    <w:rsid w:val="00241A70"/>
    <w:rsid w:val="00241FB8"/>
    <w:rsid w:val="00242841"/>
    <w:rsid w:val="00242D11"/>
    <w:rsid w:val="00244690"/>
    <w:rsid w:val="0024524C"/>
    <w:rsid w:val="00245984"/>
    <w:rsid w:val="002467F5"/>
    <w:rsid w:val="00246D9E"/>
    <w:rsid w:val="00252A1E"/>
    <w:rsid w:val="00255797"/>
    <w:rsid w:val="002616A8"/>
    <w:rsid w:val="00261990"/>
    <w:rsid w:val="00261EEF"/>
    <w:rsid w:val="0026296E"/>
    <w:rsid w:val="00264576"/>
    <w:rsid w:val="00265D9D"/>
    <w:rsid w:val="002678E1"/>
    <w:rsid w:val="00267FB0"/>
    <w:rsid w:val="00274D6A"/>
    <w:rsid w:val="002761CF"/>
    <w:rsid w:val="00276710"/>
    <w:rsid w:val="00281428"/>
    <w:rsid w:val="00281445"/>
    <w:rsid w:val="0028262C"/>
    <w:rsid w:val="002830C7"/>
    <w:rsid w:val="00283A9D"/>
    <w:rsid w:val="00285D17"/>
    <w:rsid w:val="00285F0C"/>
    <w:rsid w:val="00286BF4"/>
    <w:rsid w:val="002870DE"/>
    <w:rsid w:val="00287B13"/>
    <w:rsid w:val="00291B07"/>
    <w:rsid w:val="00296AA8"/>
    <w:rsid w:val="002A02FF"/>
    <w:rsid w:val="002A1D07"/>
    <w:rsid w:val="002A45B6"/>
    <w:rsid w:val="002A65B2"/>
    <w:rsid w:val="002A7D1B"/>
    <w:rsid w:val="002B28A2"/>
    <w:rsid w:val="002B479E"/>
    <w:rsid w:val="002B4B6E"/>
    <w:rsid w:val="002B4F61"/>
    <w:rsid w:val="002B522A"/>
    <w:rsid w:val="002B6564"/>
    <w:rsid w:val="002B709A"/>
    <w:rsid w:val="002D0747"/>
    <w:rsid w:val="002D234C"/>
    <w:rsid w:val="002D3AB9"/>
    <w:rsid w:val="002D444C"/>
    <w:rsid w:val="002D5E6A"/>
    <w:rsid w:val="002D5EC1"/>
    <w:rsid w:val="002D7C81"/>
    <w:rsid w:val="002E2A6A"/>
    <w:rsid w:val="002E3A86"/>
    <w:rsid w:val="002E7FC3"/>
    <w:rsid w:val="002F37C0"/>
    <w:rsid w:val="002F46EC"/>
    <w:rsid w:val="002F768E"/>
    <w:rsid w:val="003038DD"/>
    <w:rsid w:val="00306423"/>
    <w:rsid w:val="00307565"/>
    <w:rsid w:val="003101B7"/>
    <w:rsid w:val="00310903"/>
    <w:rsid w:val="00311083"/>
    <w:rsid w:val="003149E8"/>
    <w:rsid w:val="00315593"/>
    <w:rsid w:val="00316559"/>
    <w:rsid w:val="003211D5"/>
    <w:rsid w:val="0032160A"/>
    <w:rsid w:val="00322B57"/>
    <w:rsid w:val="00325B35"/>
    <w:rsid w:val="00326255"/>
    <w:rsid w:val="003266ED"/>
    <w:rsid w:val="0033005F"/>
    <w:rsid w:val="00331874"/>
    <w:rsid w:val="0033382C"/>
    <w:rsid w:val="00336821"/>
    <w:rsid w:val="00336E26"/>
    <w:rsid w:val="00336ED7"/>
    <w:rsid w:val="00337861"/>
    <w:rsid w:val="00340B81"/>
    <w:rsid w:val="0034226A"/>
    <w:rsid w:val="003449E6"/>
    <w:rsid w:val="003456F1"/>
    <w:rsid w:val="0034623A"/>
    <w:rsid w:val="00346BD9"/>
    <w:rsid w:val="00347788"/>
    <w:rsid w:val="00350669"/>
    <w:rsid w:val="00351873"/>
    <w:rsid w:val="003544A7"/>
    <w:rsid w:val="00354ED1"/>
    <w:rsid w:val="00356166"/>
    <w:rsid w:val="0036097A"/>
    <w:rsid w:val="003700E8"/>
    <w:rsid w:val="00371016"/>
    <w:rsid w:val="00371AE0"/>
    <w:rsid w:val="003756C8"/>
    <w:rsid w:val="003758F5"/>
    <w:rsid w:val="00381E36"/>
    <w:rsid w:val="00385476"/>
    <w:rsid w:val="0038751A"/>
    <w:rsid w:val="003934C4"/>
    <w:rsid w:val="00396D8F"/>
    <w:rsid w:val="003A1B93"/>
    <w:rsid w:val="003A5E44"/>
    <w:rsid w:val="003A7232"/>
    <w:rsid w:val="003A7A9B"/>
    <w:rsid w:val="003B00E8"/>
    <w:rsid w:val="003C00A8"/>
    <w:rsid w:val="003C15DB"/>
    <w:rsid w:val="003C4919"/>
    <w:rsid w:val="003D5AEF"/>
    <w:rsid w:val="003D7363"/>
    <w:rsid w:val="003E2FBF"/>
    <w:rsid w:val="003E445E"/>
    <w:rsid w:val="003E650D"/>
    <w:rsid w:val="003F3019"/>
    <w:rsid w:val="003F5EB7"/>
    <w:rsid w:val="003F6B44"/>
    <w:rsid w:val="003F74C6"/>
    <w:rsid w:val="00400DDC"/>
    <w:rsid w:val="004023A5"/>
    <w:rsid w:val="00403732"/>
    <w:rsid w:val="00406DC7"/>
    <w:rsid w:val="0041107B"/>
    <w:rsid w:val="00411D8E"/>
    <w:rsid w:val="0041346A"/>
    <w:rsid w:val="004143C3"/>
    <w:rsid w:val="00414640"/>
    <w:rsid w:val="00414E8A"/>
    <w:rsid w:val="004212BB"/>
    <w:rsid w:val="0042133D"/>
    <w:rsid w:val="00421C63"/>
    <w:rsid w:val="0042289A"/>
    <w:rsid w:val="004237FF"/>
    <w:rsid w:val="00427A8D"/>
    <w:rsid w:val="00430AE0"/>
    <w:rsid w:val="00432003"/>
    <w:rsid w:val="00432DFD"/>
    <w:rsid w:val="00433594"/>
    <w:rsid w:val="0043674F"/>
    <w:rsid w:val="00436E03"/>
    <w:rsid w:val="00437D17"/>
    <w:rsid w:val="00437F1A"/>
    <w:rsid w:val="00440251"/>
    <w:rsid w:val="00442B78"/>
    <w:rsid w:val="00444904"/>
    <w:rsid w:val="00445B55"/>
    <w:rsid w:val="00447BF4"/>
    <w:rsid w:val="00450DF3"/>
    <w:rsid w:val="004539D3"/>
    <w:rsid w:val="004540D7"/>
    <w:rsid w:val="00455BE4"/>
    <w:rsid w:val="00457392"/>
    <w:rsid w:val="0045795D"/>
    <w:rsid w:val="00461606"/>
    <w:rsid w:val="00463A3C"/>
    <w:rsid w:val="0046440F"/>
    <w:rsid w:val="00464860"/>
    <w:rsid w:val="00465916"/>
    <w:rsid w:val="004676BE"/>
    <w:rsid w:val="004717EE"/>
    <w:rsid w:val="004729B7"/>
    <w:rsid w:val="004810EA"/>
    <w:rsid w:val="0048202E"/>
    <w:rsid w:val="00486415"/>
    <w:rsid w:val="0049144F"/>
    <w:rsid w:val="00492E13"/>
    <w:rsid w:val="004936DD"/>
    <w:rsid w:val="00493A66"/>
    <w:rsid w:val="00494264"/>
    <w:rsid w:val="004953B8"/>
    <w:rsid w:val="00496794"/>
    <w:rsid w:val="004A0042"/>
    <w:rsid w:val="004A092C"/>
    <w:rsid w:val="004A0E70"/>
    <w:rsid w:val="004A2704"/>
    <w:rsid w:val="004A2D84"/>
    <w:rsid w:val="004A3A10"/>
    <w:rsid w:val="004A3D87"/>
    <w:rsid w:val="004A4E24"/>
    <w:rsid w:val="004A4E5F"/>
    <w:rsid w:val="004A5361"/>
    <w:rsid w:val="004A7F3E"/>
    <w:rsid w:val="004B03C4"/>
    <w:rsid w:val="004B34A0"/>
    <w:rsid w:val="004B4FB7"/>
    <w:rsid w:val="004B7EFE"/>
    <w:rsid w:val="004C2004"/>
    <w:rsid w:val="004C374F"/>
    <w:rsid w:val="004C3DB2"/>
    <w:rsid w:val="004C4284"/>
    <w:rsid w:val="004C45C6"/>
    <w:rsid w:val="004C7A82"/>
    <w:rsid w:val="004D1985"/>
    <w:rsid w:val="004D303A"/>
    <w:rsid w:val="004D70D5"/>
    <w:rsid w:val="004D7791"/>
    <w:rsid w:val="004E2094"/>
    <w:rsid w:val="004E2968"/>
    <w:rsid w:val="004F1097"/>
    <w:rsid w:val="004F25AA"/>
    <w:rsid w:val="004F2634"/>
    <w:rsid w:val="004F5A54"/>
    <w:rsid w:val="004F6143"/>
    <w:rsid w:val="004F6785"/>
    <w:rsid w:val="004F75DC"/>
    <w:rsid w:val="004F7F54"/>
    <w:rsid w:val="00501056"/>
    <w:rsid w:val="00501057"/>
    <w:rsid w:val="005045EF"/>
    <w:rsid w:val="00504BAB"/>
    <w:rsid w:val="005142E0"/>
    <w:rsid w:val="00516847"/>
    <w:rsid w:val="00517698"/>
    <w:rsid w:val="00517968"/>
    <w:rsid w:val="00521CA8"/>
    <w:rsid w:val="00523099"/>
    <w:rsid w:val="00523465"/>
    <w:rsid w:val="00534965"/>
    <w:rsid w:val="00534C81"/>
    <w:rsid w:val="005369F3"/>
    <w:rsid w:val="005402DA"/>
    <w:rsid w:val="00540DFE"/>
    <w:rsid w:val="005417B9"/>
    <w:rsid w:val="00541D2D"/>
    <w:rsid w:val="0054416F"/>
    <w:rsid w:val="00545394"/>
    <w:rsid w:val="005456DB"/>
    <w:rsid w:val="00545CFC"/>
    <w:rsid w:val="005504BB"/>
    <w:rsid w:val="00553B6E"/>
    <w:rsid w:val="00555FFB"/>
    <w:rsid w:val="00556438"/>
    <w:rsid w:val="005570F5"/>
    <w:rsid w:val="005578F6"/>
    <w:rsid w:val="00560B8E"/>
    <w:rsid w:val="00562307"/>
    <w:rsid w:val="00562B07"/>
    <w:rsid w:val="00563A47"/>
    <w:rsid w:val="00564008"/>
    <w:rsid w:val="00566899"/>
    <w:rsid w:val="005671A0"/>
    <w:rsid w:val="005677F4"/>
    <w:rsid w:val="00567B84"/>
    <w:rsid w:val="00567F9E"/>
    <w:rsid w:val="0057159C"/>
    <w:rsid w:val="00571618"/>
    <w:rsid w:val="00575420"/>
    <w:rsid w:val="00576C78"/>
    <w:rsid w:val="0058106A"/>
    <w:rsid w:val="00581619"/>
    <w:rsid w:val="005922A6"/>
    <w:rsid w:val="0059334B"/>
    <w:rsid w:val="00594749"/>
    <w:rsid w:val="005A2B74"/>
    <w:rsid w:val="005A3366"/>
    <w:rsid w:val="005A4B34"/>
    <w:rsid w:val="005A64FF"/>
    <w:rsid w:val="005A6880"/>
    <w:rsid w:val="005A6903"/>
    <w:rsid w:val="005A7965"/>
    <w:rsid w:val="005B2C8C"/>
    <w:rsid w:val="005B3922"/>
    <w:rsid w:val="005B51E2"/>
    <w:rsid w:val="005B5CEB"/>
    <w:rsid w:val="005B6480"/>
    <w:rsid w:val="005C1A6E"/>
    <w:rsid w:val="005C36DA"/>
    <w:rsid w:val="005C3AA2"/>
    <w:rsid w:val="005C4098"/>
    <w:rsid w:val="005C5FDE"/>
    <w:rsid w:val="005C6055"/>
    <w:rsid w:val="005C628D"/>
    <w:rsid w:val="005C739E"/>
    <w:rsid w:val="005C7B17"/>
    <w:rsid w:val="005D51DD"/>
    <w:rsid w:val="005E012B"/>
    <w:rsid w:val="005E0B4F"/>
    <w:rsid w:val="005E1347"/>
    <w:rsid w:val="005E1B15"/>
    <w:rsid w:val="005E5303"/>
    <w:rsid w:val="005E5DA0"/>
    <w:rsid w:val="005E7B3B"/>
    <w:rsid w:val="005F1A17"/>
    <w:rsid w:val="005F5736"/>
    <w:rsid w:val="005F5BE1"/>
    <w:rsid w:val="005F5C0B"/>
    <w:rsid w:val="005F695A"/>
    <w:rsid w:val="00600819"/>
    <w:rsid w:val="00601C40"/>
    <w:rsid w:val="00601E75"/>
    <w:rsid w:val="00605400"/>
    <w:rsid w:val="006070B5"/>
    <w:rsid w:val="00607228"/>
    <w:rsid w:val="006076B1"/>
    <w:rsid w:val="0061000A"/>
    <w:rsid w:val="0061064D"/>
    <w:rsid w:val="00611413"/>
    <w:rsid w:val="0061549C"/>
    <w:rsid w:val="00616D28"/>
    <w:rsid w:val="006178DA"/>
    <w:rsid w:val="0062035B"/>
    <w:rsid w:val="00621039"/>
    <w:rsid w:val="0062277C"/>
    <w:rsid w:val="00623EC9"/>
    <w:rsid w:val="00627062"/>
    <w:rsid w:val="00630238"/>
    <w:rsid w:val="006302AF"/>
    <w:rsid w:val="0063061B"/>
    <w:rsid w:val="00631329"/>
    <w:rsid w:val="00631CE4"/>
    <w:rsid w:val="006336B0"/>
    <w:rsid w:val="00634870"/>
    <w:rsid w:val="00635110"/>
    <w:rsid w:val="006351D7"/>
    <w:rsid w:val="00636FAD"/>
    <w:rsid w:val="006413D6"/>
    <w:rsid w:val="0064233F"/>
    <w:rsid w:val="00642473"/>
    <w:rsid w:val="00642FF4"/>
    <w:rsid w:val="00643096"/>
    <w:rsid w:val="00645749"/>
    <w:rsid w:val="0064749C"/>
    <w:rsid w:val="00651198"/>
    <w:rsid w:val="0065154D"/>
    <w:rsid w:val="00652D0B"/>
    <w:rsid w:val="00653D3F"/>
    <w:rsid w:val="006559CA"/>
    <w:rsid w:val="00664F5C"/>
    <w:rsid w:val="0066500C"/>
    <w:rsid w:val="00666ACD"/>
    <w:rsid w:val="00675E60"/>
    <w:rsid w:val="0067647D"/>
    <w:rsid w:val="00676754"/>
    <w:rsid w:val="00677117"/>
    <w:rsid w:val="006774DD"/>
    <w:rsid w:val="006777CC"/>
    <w:rsid w:val="00677DA9"/>
    <w:rsid w:val="00694CD4"/>
    <w:rsid w:val="00695B28"/>
    <w:rsid w:val="00696713"/>
    <w:rsid w:val="00696766"/>
    <w:rsid w:val="00696B41"/>
    <w:rsid w:val="00696F58"/>
    <w:rsid w:val="006976D1"/>
    <w:rsid w:val="00697A72"/>
    <w:rsid w:val="00697C1D"/>
    <w:rsid w:val="006A15C1"/>
    <w:rsid w:val="006A34AB"/>
    <w:rsid w:val="006A40D4"/>
    <w:rsid w:val="006A7F4C"/>
    <w:rsid w:val="006B0524"/>
    <w:rsid w:val="006B18C9"/>
    <w:rsid w:val="006B2554"/>
    <w:rsid w:val="006B3698"/>
    <w:rsid w:val="006B4589"/>
    <w:rsid w:val="006B5DCF"/>
    <w:rsid w:val="006B7741"/>
    <w:rsid w:val="006C081B"/>
    <w:rsid w:val="006C1802"/>
    <w:rsid w:val="006C3C8D"/>
    <w:rsid w:val="006C6A69"/>
    <w:rsid w:val="006D14DB"/>
    <w:rsid w:val="006D43AB"/>
    <w:rsid w:val="006D5398"/>
    <w:rsid w:val="006D6D1E"/>
    <w:rsid w:val="006D6E0E"/>
    <w:rsid w:val="006D6EED"/>
    <w:rsid w:val="006E09B3"/>
    <w:rsid w:val="006E0FE3"/>
    <w:rsid w:val="006F216C"/>
    <w:rsid w:val="006F21E3"/>
    <w:rsid w:val="006F286E"/>
    <w:rsid w:val="006F29D7"/>
    <w:rsid w:val="006F4297"/>
    <w:rsid w:val="006F4B0E"/>
    <w:rsid w:val="006F5327"/>
    <w:rsid w:val="00701037"/>
    <w:rsid w:val="00701430"/>
    <w:rsid w:val="00707F19"/>
    <w:rsid w:val="00710384"/>
    <w:rsid w:val="00711D8E"/>
    <w:rsid w:val="00717ED6"/>
    <w:rsid w:val="007204AB"/>
    <w:rsid w:val="00721663"/>
    <w:rsid w:val="007238A4"/>
    <w:rsid w:val="00723F11"/>
    <w:rsid w:val="007244E4"/>
    <w:rsid w:val="007260CF"/>
    <w:rsid w:val="00726A56"/>
    <w:rsid w:val="00726E67"/>
    <w:rsid w:val="00731978"/>
    <w:rsid w:val="007335E3"/>
    <w:rsid w:val="0073428E"/>
    <w:rsid w:val="00735270"/>
    <w:rsid w:val="00736908"/>
    <w:rsid w:val="00737CA9"/>
    <w:rsid w:val="00737D91"/>
    <w:rsid w:val="00742E42"/>
    <w:rsid w:val="00744FCE"/>
    <w:rsid w:val="00745236"/>
    <w:rsid w:val="00745A24"/>
    <w:rsid w:val="00745CD7"/>
    <w:rsid w:val="00746409"/>
    <w:rsid w:val="00747274"/>
    <w:rsid w:val="00755E3D"/>
    <w:rsid w:val="00757664"/>
    <w:rsid w:val="00760D13"/>
    <w:rsid w:val="00762005"/>
    <w:rsid w:val="00762680"/>
    <w:rsid w:val="00762A2E"/>
    <w:rsid w:val="00764F1F"/>
    <w:rsid w:val="00767C78"/>
    <w:rsid w:val="00767FF3"/>
    <w:rsid w:val="00770DFD"/>
    <w:rsid w:val="00771BF1"/>
    <w:rsid w:val="0077467C"/>
    <w:rsid w:val="00776C64"/>
    <w:rsid w:val="0078091F"/>
    <w:rsid w:val="00781012"/>
    <w:rsid w:val="00782BF6"/>
    <w:rsid w:val="00784092"/>
    <w:rsid w:val="00787779"/>
    <w:rsid w:val="00787FCD"/>
    <w:rsid w:val="0079002A"/>
    <w:rsid w:val="00790995"/>
    <w:rsid w:val="00790B20"/>
    <w:rsid w:val="007930D5"/>
    <w:rsid w:val="00793CF6"/>
    <w:rsid w:val="00796B61"/>
    <w:rsid w:val="00797BAC"/>
    <w:rsid w:val="007A2678"/>
    <w:rsid w:val="007A31A2"/>
    <w:rsid w:val="007A4BEB"/>
    <w:rsid w:val="007A5ED4"/>
    <w:rsid w:val="007A6E85"/>
    <w:rsid w:val="007B0354"/>
    <w:rsid w:val="007B1A8E"/>
    <w:rsid w:val="007B1E7F"/>
    <w:rsid w:val="007B4E07"/>
    <w:rsid w:val="007C1726"/>
    <w:rsid w:val="007C439A"/>
    <w:rsid w:val="007C5123"/>
    <w:rsid w:val="007C53E4"/>
    <w:rsid w:val="007C60B5"/>
    <w:rsid w:val="007C6653"/>
    <w:rsid w:val="007C73D5"/>
    <w:rsid w:val="007D0062"/>
    <w:rsid w:val="007D0345"/>
    <w:rsid w:val="007D0BC9"/>
    <w:rsid w:val="007D4625"/>
    <w:rsid w:val="007D50FB"/>
    <w:rsid w:val="007D5AEC"/>
    <w:rsid w:val="007D5C5F"/>
    <w:rsid w:val="007D7B0C"/>
    <w:rsid w:val="007E093E"/>
    <w:rsid w:val="007E13A0"/>
    <w:rsid w:val="007E1A09"/>
    <w:rsid w:val="007E1D39"/>
    <w:rsid w:val="007E37F4"/>
    <w:rsid w:val="007E5998"/>
    <w:rsid w:val="007F36F4"/>
    <w:rsid w:val="007F7365"/>
    <w:rsid w:val="00801C0A"/>
    <w:rsid w:val="008028B2"/>
    <w:rsid w:val="00806D98"/>
    <w:rsid w:val="00806DD3"/>
    <w:rsid w:val="008103AC"/>
    <w:rsid w:val="00812FA4"/>
    <w:rsid w:val="00813EAE"/>
    <w:rsid w:val="00815D22"/>
    <w:rsid w:val="00815F8F"/>
    <w:rsid w:val="00816180"/>
    <w:rsid w:val="008165D2"/>
    <w:rsid w:val="00817139"/>
    <w:rsid w:val="00817194"/>
    <w:rsid w:val="008203D6"/>
    <w:rsid w:val="00825468"/>
    <w:rsid w:val="008255C7"/>
    <w:rsid w:val="00826482"/>
    <w:rsid w:val="0083079B"/>
    <w:rsid w:val="008341DD"/>
    <w:rsid w:val="00841A84"/>
    <w:rsid w:val="00842FE8"/>
    <w:rsid w:val="00843A70"/>
    <w:rsid w:val="00847DC8"/>
    <w:rsid w:val="00850641"/>
    <w:rsid w:val="008508EC"/>
    <w:rsid w:val="00851E01"/>
    <w:rsid w:val="00851F53"/>
    <w:rsid w:val="00853200"/>
    <w:rsid w:val="00853399"/>
    <w:rsid w:val="00854563"/>
    <w:rsid w:val="00855CF1"/>
    <w:rsid w:val="00856C0E"/>
    <w:rsid w:val="0086002F"/>
    <w:rsid w:val="00860417"/>
    <w:rsid w:val="008611FB"/>
    <w:rsid w:val="0086361C"/>
    <w:rsid w:val="00864F24"/>
    <w:rsid w:val="0086561C"/>
    <w:rsid w:val="00873F16"/>
    <w:rsid w:val="008751C1"/>
    <w:rsid w:val="008810FC"/>
    <w:rsid w:val="00886A67"/>
    <w:rsid w:val="00891DCE"/>
    <w:rsid w:val="0089231B"/>
    <w:rsid w:val="00893E2A"/>
    <w:rsid w:val="00895E35"/>
    <w:rsid w:val="00896948"/>
    <w:rsid w:val="008A442C"/>
    <w:rsid w:val="008A75DB"/>
    <w:rsid w:val="008A775D"/>
    <w:rsid w:val="008A7BD2"/>
    <w:rsid w:val="008B18D4"/>
    <w:rsid w:val="008B6486"/>
    <w:rsid w:val="008C17AF"/>
    <w:rsid w:val="008C1CE8"/>
    <w:rsid w:val="008C212A"/>
    <w:rsid w:val="008C2475"/>
    <w:rsid w:val="008C70D7"/>
    <w:rsid w:val="008D031C"/>
    <w:rsid w:val="008D0393"/>
    <w:rsid w:val="008D0405"/>
    <w:rsid w:val="008D0CBC"/>
    <w:rsid w:val="008D5EC2"/>
    <w:rsid w:val="008D77EC"/>
    <w:rsid w:val="008D7D04"/>
    <w:rsid w:val="008E0B3B"/>
    <w:rsid w:val="008E2487"/>
    <w:rsid w:val="008E317A"/>
    <w:rsid w:val="008E4431"/>
    <w:rsid w:val="008E5A2F"/>
    <w:rsid w:val="008E7831"/>
    <w:rsid w:val="008F19C3"/>
    <w:rsid w:val="008F2A57"/>
    <w:rsid w:val="008F5DC6"/>
    <w:rsid w:val="008F6C84"/>
    <w:rsid w:val="008F72B3"/>
    <w:rsid w:val="0090162C"/>
    <w:rsid w:val="00901C29"/>
    <w:rsid w:val="0090233E"/>
    <w:rsid w:val="009029F9"/>
    <w:rsid w:val="0090394C"/>
    <w:rsid w:val="00904CA8"/>
    <w:rsid w:val="0090733B"/>
    <w:rsid w:val="00912D47"/>
    <w:rsid w:val="00913B53"/>
    <w:rsid w:val="00914567"/>
    <w:rsid w:val="00914A83"/>
    <w:rsid w:val="00916659"/>
    <w:rsid w:val="009171D9"/>
    <w:rsid w:val="009204B2"/>
    <w:rsid w:val="00922A32"/>
    <w:rsid w:val="00922A63"/>
    <w:rsid w:val="00923395"/>
    <w:rsid w:val="00924635"/>
    <w:rsid w:val="0092474B"/>
    <w:rsid w:val="00924CCA"/>
    <w:rsid w:val="00925B0F"/>
    <w:rsid w:val="00925FBC"/>
    <w:rsid w:val="00926675"/>
    <w:rsid w:val="0093006B"/>
    <w:rsid w:val="0093298F"/>
    <w:rsid w:val="009528BD"/>
    <w:rsid w:val="00952EE1"/>
    <w:rsid w:val="009540E9"/>
    <w:rsid w:val="0095669A"/>
    <w:rsid w:val="00956D5B"/>
    <w:rsid w:val="00962F72"/>
    <w:rsid w:val="00963592"/>
    <w:rsid w:val="00965E37"/>
    <w:rsid w:val="00970DF6"/>
    <w:rsid w:val="00971735"/>
    <w:rsid w:val="00971929"/>
    <w:rsid w:val="00971BA4"/>
    <w:rsid w:val="00971F97"/>
    <w:rsid w:val="009802DE"/>
    <w:rsid w:val="00980A9A"/>
    <w:rsid w:val="009823AC"/>
    <w:rsid w:val="009825AA"/>
    <w:rsid w:val="00982E1A"/>
    <w:rsid w:val="00983B19"/>
    <w:rsid w:val="0098473B"/>
    <w:rsid w:val="00985273"/>
    <w:rsid w:val="00986A33"/>
    <w:rsid w:val="009900B5"/>
    <w:rsid w:val="00992394"/>
    <w:rsid w:val="00994ADA"/>
    <w:rsid w:val="00996344"/>
    <w:rsid w:val="009A108B"/>
    <w:rsid w:val="009A52D7"/>
    <w:rsid w:val="009A6865"/>
    <w:rsid w:val="009A6D51"/>
    <w:rsid w:val="009B17DC"/>
    <w:rsid w:val="009B2404"/>
    <w:rsid w:val="009B4524"/>
    <w:rsid w:val="009B600A"/>
    <w:rsid w:val="009B7BDE"/>
    <w:rsid w:val="009B7BF2"/>
    <w:rsid w:val="009C28B7"/>
    <w:rsid w:val="009C375D"/>
    <w:rsid w:val="009C3C62"/>
    <w:rsid w:val="009D4525"/>
    <w:rsid w:val="009D4A04"/>
    <w:rsid w:val="009D64C7"/>
    <w:rsid w:val="009E0713"/>
    <w:rsid w:val="009E1EF9"/>
    <w:rsid w:val="009E2D6F"/>
    <w:rsid w:val="009E4735"/>
    <w:rsid w:val="009E4ECC"/>
    <w:rsid w:val="009E5259"/>
    <w:rsid w:val="009F104E"/>
    <w:rsid w:val="009F1B37"/>
    <w:rsid w:val="009F668F"/>
    <w:rsid w:val="00A006C8"/>
    <w:rsid w:val="00A00BC6"/>
    <w:rsid w:val="00A00CE2"/>
    <w:rsid w:val="00A03973"/>
    <w:rsid w:val="00A0524C"/>
    <w:rsid w:val="00A05971"/>
    <w:rsid w:val="00A07706"/>
    <w:rsid w:val="00A10A0E"/>
    <w:rsid w:val="00A10AAF"/>
    <w:rsid w:val="00A10CDF"/>
    <w:rsid w:val="00A13DC5"/>
    <w:rsid w:val="00A13F7E"/>
    <w:rsid w:val="00A13FBA"/>
    <w:rsid w:val="00A14E9D"/>
    <w:rsid w:val="00A200AA"/>
    <w:rsid w:val="00A228D7"/>
    <w:rsid w:val="00A23B13"/>
    <w:rsid w:val="00A24656"/>
    <w:rsid w:val="00A25B7F"/>
    <w:rsid w:val="00A264FC"/>
    <w:rsid w:val="00A32254"/>
    <w:rsid w:val="00A34683"/>
    <w:rsid w:val="00A34F21"/>
    <w:rsid w:val="00A372A1"/>
    <w:rsid w:val="00A4012B"/>
    <w:rsid w:val="00A410AB"/>
    <w:rsid w:val="00A419BB"/>
    <w:rsid w:val="00A53E50"/>
    <w:rsid w:val="00A55198"/>
    <w:rsid w:val="00A5603D"/>
    <w:rsid w:val="00A56518"/>
    <w:rsid w:val="00A56E64"/>
    <w:rsid w:val="00A642FA"/>
    <w:rsid w:val="00A644A5"/>
    <w:rsid w:val="00A65198"/>
    <w:rsid w:val="00A674EA"/>
    <w:rsid w:val="00A67A6A"/>
    <w:rsid w:val="00A70A64"/>
    <w:rsid w:val="00A7168B"/>
    <w:rsid w:val="00A7534D"/>
    <w:rsid w:val="00A7539B"/>
    <w:rsid w:val="00A76574"/>
    <w:rsid w:val="00A775FA"/>
    <w:rsid w:val="00A81F88"/>
    <w:rsid w:val="00A82527"/>
    <w:rsid w:val="00A82759"/>
    <w:rsid w:val="00A8391F"/>
    <w:rsid w:val="00A85AF8"/>
    <w:rsid w:val="00A86AEE"/>
    <w:rsid w:val="00A90855"/>
    <w:rsid w:val="00A9085C"/>
    <w:rsid w:val="00A908A3"/>
    <w:rsid w:val="00A91149"/>
    <w:rsid w:val="00A93648"/>
    <w:rsid w:val="00A974F7"/>
    <w:rsid w:val="00AA01AE"/>
    <w:rsid w:val="00AA088A"/>
    <w:rsid w:val="00AA228A"/>
    <w:rsid w:val="00AA3D75"/>
    <w:rsid w:val="00AA5BC8"/>
    <w:rsid w:val="00AA6D61"/>
    <w:rsid w:val="00AA7910"/>
    <w:rsid w:val="00AB6297"/>
    <w:rsid w:val="00AB7992"/>
    <w:rsid w:val="00AC01DD"/>
    <w:rsid w:val="00AC0358"/>
    <w:rsid w:val="00AC25C4"/>
    <w:rsid w:val="00AC5ACC"/>
    <w:rsid w:val="00AC6535"/>
    <w:rsid w:val="00AC746B"/>
    <w:rsid w:val="00AD0014"/>
    <w:rsid w:val="00AD017B"/>
    <w:rsid w:val="00AD03EE"/>
    <w:rsid w:val="00AD1D86"/>
    <w:rsid w:val="00AD424A"/>
    <w:rsid w:val="00AD44E1"/>
    <w:rsid w:val="00AD5C71"/>
    <w:rsid w:val="00AE10F4"/>
    <w:rsid w:val="00AE7E70"/>
    <w:rsid w:val="00AF0FB6"/>
    <w:rsid w:val="00AF2723"/>
    <w:rsid w:val="00AF2C5D"/>
    <w:rsid w:val="00AF38A1"/>
    <w:rsid w:val="00AF5253"/>
    <w:rsid w:val="00AF5553"/>
    <w:rsid w:val="00AF6F01"/>
    <w:rsid w:val="00B008E8"/>
    <w:rsid w:val="00B011BC"/>
    <w:rsid w:val="00B0224D"/>
    <w:rsid w:val="00B028C8"/>
    <w:rsid w:val="00B0400C"/>
    <w:rsid w:val="00B0426F"/>
    <w:rsid w:val="00B10CFF"/>
    <w:rsid w:val="00B116EB"/>
    <w:rsid w:val="00B13DBA"/>
    <w:rsid w:val="00B1570A"/>
    <w:rsid w:val="00B1668B"/>
    <w:rsid w:val="00B1777C"/>
    <w:rsid w:val="00B20CCB"/>
    <w:rsid w:val="00B21071"/>
    <w:rsid w:val="00B21517"/>
    <w:rsid w:val="00B2183E"/>
    <w:rsid w:val="00B23799"/>
    <w:rsid w:val="00B2479E"/>
    <w:rsid w:val="00B24F13"/>
    <w:rsid w:val="00B27E2C"/>
    <w:rsid w:val="00B304BA"/>
    <w:rsid w:val="00B30EAD"/>
    <w:rsid w:val="00B30F7F"/>
    <w:rsid w:val="00B321A1"/>
    <w:rsid w:val="00B34752"/>
    <w:rsid w:val="00B35F3E"/>
    <w:rsid w:val="00B35FA6"/>
    <w:rsid w:val="00B42536"/>
    <w:rsid w:val="00B430F7"/>
    <w:rsid w:val="00B43404"/>
    <w:rsid w:val="00B43C41"/>
    <w:rsid w:val="00B45B42"/>
    <w:rsid w:val="00B468AE"/>
    <w:rsid w:val="00B46971"/>
    <w:rsid w:val="00B5072D"/>
    <w:rsid w:val="00B51270"/>
    <w:rsid w:val="00B518DA"/>
    <w:rsid w:val="00B53A71"/>
    <w:rsid w:val="00B546A0"/>
    <w:rsid w:val="00B54872"/>
    <w:rsid w:val="00B55CEF"/>
    <w:rsid w:val="00B57006"/>
    <w:rsid w:val="00B5750D"/>
    <w:rsid w:val="00B57B36"/>
    <w:rsid w:val="00B57D75"/>
    <w:rsid w:val="00B63D9C"/>
    <w:rsid w:val="00B65A4C"/>
    <w:rsid w:val="00B67B77"/>
    <w:rsid w:val="00B70AB8"/>
    <w:rsid w:val="00B70F40"/>
    <w:rsid w:val="00B72BFD"/>
    <w:rsid w:val="00B75292"/>
    <w:rsid w:val="00B7689C"/>
    <w:rsid w:val="00B80099"/>
    <w:rsid w:val="00B8051D"/>
    <w:rsid w:val="00B80677"/>
    <w:rsid w:val="00B8441B"/>
    <w:rsid w:val="00B857D8"/>
    <w:rsid w:val="00B86A01"/>
    <w:rsid w:val="00B87BA9"/>
    <w:rsid w:val="00B90978"/>
    <w:rsid w:val="00B96B57"/>
    <w:rsid w:val="00B97874"/>
    <w:rsid w:val="00B97FB1"/>
    <w:rsid w:val="00BA036A"/>
    <w:rsid w:val="00BA29A6"/>
    <w:rsid w:val="00BA4FFB"/>
    <w:rsid w:val="00BA5816"/>
    <w:rsid w:val="00BA5963"/>
    <w:rsid w:val="00BA687A"/>
    <w:rsid w:val="00BA688E"/>
    <w:rsid w:val="00BA6A5A"/>
    <w:rsid w:val="00BB0D9A"/>
    <w:rsid w:val="00BB2812"/>
    <w:rsid w:val="00BB4864"/>
    <w:rsid w:val="00BB7FC4"/>
    <w:rsid w:val="00BC0061"/>
    <w:rsid w:val="00BC0479"/>
    <w:rsid w:val="00BC047B"/>
    <w:rsid w:val="00BC06A2"/>
    <w:rsid w:val="00BC2431"/>
    <w:rsid w:val="00BC2A03"/>
    <w:rsid w:val="00BC54DC"/>
    <w:rsid w:val="00BC5BEA"/>
    <w:rsid w:val="00BC65C4"/>
    <w:rsid w:val="00BD102D"/>
    <w:rsid w:val="00BD464C"/>
    <w:rsid w:val="00BD5EC3"/>
    <w:rsid w:val="00BE2569"/>
    <w:rsid w:val="00BE2F93"/>
    <w:rsid w:val="00BE3278"/>
    <w:rsid w:val="00BE44E6"/>
    <w:rsid w:val="00BF136B"/>
    <w:rsid w:val="00BF2332"/>
    <w:rsid w:val="00BF256E"/>
    <w:rsid w:val="00BF2B6F"/>
    <w:rsid w:val="00BF5F72"/>
    <w:rsid w:val="00BF748F"/>
    <w:rsid w:val="00C006F7"/>
    <w:rsid w:val="00C02111"/>
    <w:rsid w:val="00C038E0"/>
    <w:rsid w:val="00C1175A"/>
    <w:rsid w:val="00C15146"/>
    <w:rsid w:val="00C172EC"/>
    <w:rsid w:val="00C174C8"/>
    <w:rsid w:val="00C174E3"/>
    <w:rsid w:val="00C17831"/>
    <w:rsid w:val="00C1786C"/>
    <w:rsid w:val="00C17F08"/>
    <w:rsid w:val="00C2034A"/>
    <w:rsid w:val="00C20B80"/>
    <w:rsid w:val="00C20FFB"/>
    <w:rsid w:val="00C21EED"/>
    <w:rsid w:val="00C22329"/>
    <w:rsid w:val="00C225DD"/>
    <w:rsid w:val="00C238BE"/>
    <w:rsid w:val="00C23E1A"/>
    <w:rsid w:val="00C25CCD"/>
    <w:rsid w:val="00C302C0"/>
    <w:rsid w:val="00C31C0A"/>
    <w:rsid w:val="00C32CF5"/>
    <w:rsid w:val="00C32EAA"/>
    <w:rsid w:val="00C33202"/>
    <w:rsid w:val="00C34034"/>
    <w:rsid w:val="00C35114"/>
    <w:rsid w:val="00C40121"/>
    <w:rsid w:val="00C42B70"/>
    <w:rsid w:val="00C4331B"/>
    <w:rsid w:val="00C44C93"/>
    <w:rsid w:val="00C44FBD"/>
    <w:rsid w:val="00C45689"/>
    <w:rsid w:val="00C4589C"/>
    <w:rsid w:val="00C47F74"/>
    <w:rsid w:val="00C503B0"/>
    <w:rsid w:val="00C52090"/>
    <w:rsid w:val="00C52DA5"/>
    <w:rsid w:val="00C52F61"/>
    <w:rsid w:val="00C5442F"/>
    <w:rsid w:val="00C547E2"/>
    <w:rsid w:val="00C55E60"/>
    <w:rsid w:val="00C56AC8"/>
    <w:rsid w:val="00C60444"/>
    <w:rsid w:val="00C620FC"/>
    <w:rsid w:val="00C6233C"/>
    <w:rsid w:val="00C62678"/>
    <w:rsid w:val="00C65413"/>
    <w:rsid w:val="00C6569C"/>
    <w:rsid w:val="00C70571"/>
    <w:rsid w:val="00C72DDD"/>
    <w:rsid w:val="00C74E59"/>
    <w:rsid w:val="00C755FB"/>
    <w:rsid w:val="00C75659"/>
    <w:rsid w:val="00C80EA7"/>
    <w:rsid w:val="00C8179B"/>
    <w:rsid w:val="00C84C81"/>
    <w:rsid w:val="00C85164"/>
    <w:rsid w:val="00C85264"/>
    <w:rsid w:val="00C85350"/>
    <w:rsid w:val="00C867CE"/>
    <w:rsid w:val="00C87585"/>
    <w:rsid w:val="00C9128E"/>
    <w:rsid w:val="00C91393"/>
    <w:rsid w:val="00C92D1A"/>
    <w:rsid w:val="00C94509"/>
    <w:rsid w:val="00C95769"/>
    <w:rsid w:val="00C96A8B"/>
    <w:rsid w:val="00CA24A2"/>
    <w:rsid w:val="00CA26C1"/>
    <w:rsid w:val="00CA3753"/>
    <w:rsid w:val="00CA59CE"/>
    <w:rsid w:val="00CA5CA8"/>
    <w:rsid w:val="00CA7E66"/>
    <w:rsid w:val="00CB0863"/>
    <w:rsid w:val="00CB150D"/>
    <w:rsid w:val="00CB2056"/>
    <w:rsid w:val="00CB2F47"/>
    <w:rsid w:val="00CB2FD7"/>
    <w:rsid w:val="00CB5C72"/>
    <w:rsid w:val="00CB7420"/>
    <w:rsid w:val="00CB764A"/>
    <w:rsid w:val="00CB76B6"/>
    <w:rsid w:val="00CC68FA"/>
    <w:rsid w:val="00CC6F33"/>
    <w:rsid w:val="00CC7311"/>
    <w:rsid w:val="00CD1D66"/>
    <w:rsid w:val="00CD20D2"/>
    <w:rsid w:val="00CD278D"/>
    <w:rsid w:val="00CD2EB3"/>
    <w:rsid w:val="00CD3463"/>
    <w:rsid w:val="00CD363F"/>
    <w:rsid w:val="00CD3BE0"/>
    <w:rsid w:val="00CD4479"/>
    <w:rsid w:val="00CD4E5A"/>
    <w:rsid w:val="00CD6CFB"/>
    <w:rsid w:val="00CE0EEE"/>
    <w:rsid w:val="00CE1007"/>
    <w:rsid w:val="00CE12FF"/>
    <w:rsid w:val="00CE375F"/>
    <w:rsid w:val="00CE3A14"/>
    <w:rsid w:val="00CF00DC"/>
    <w:rsid w:val="00CF0A0B"/>
    <w:rsid w:val="00CF10A9"/>
    <w:rsid w:val="00CF2CC6"/>
    <w:rsid w:val="00CF5AA0"/>
    <w:rsid w:val="00CF63FD"/>
    <w:rsid w:val="00CF69A2"/>
    <w:rsid w:val="00CF6E20"/>
    <w:rsid w:val="00CF78B3"/>
    <w:rsid w:val="00D00DB3"/>
    <w:rsid w:val="00D04711"/>
    <w:rsid w:val="00D04990"/>
    <w:rsid w:val="00D11BBB"/>
    <w:rsid w:val="00D174A1"/>
    <w:rsid w:val="00D178B8"/>
    <w:rsid w:val="00D20937"/>
    <w:rsid w:val="00D20E88"/>
    <w:rsid w:val="00D2296D"/>
    <w:rsid w:val="00D23C4C"/>
    <w:rsid w:val="00D26AC0"/>
    <w:rsid w:val="00D4095D"/>
    <w:rsid w:val="00D41508"/>
    <w:rsid w:val="00D4261D"/>
    <w:rsid w:val="00D42BE9"/>
    <w:rsid w:val="00D446A1"/>
    <w:rsid w:val="00D47DCA"/>
    <w:rsid w:val="00D50BEB"/>
    <w:rsid w:val="00D50FF5"/>
    <w:rsid w:val="00D53F3C"/>
    <w:rsid w:val="00D5591E"/>
    <w:rsid w:val="00D56438"/>
    <w:rsid w:val="00D571AE"/>
    <w:rsid w:val="00D5745B"/>
    <w:rsid w:val="00D61695"/>
    <w:rsid w:val="00D63462"/>
    <w:rsid w:val="00D64073"/>
    <w:rsid w:val="00D646C5"/>
    <w:rsid w:val="00D656E0"/>
    <w:rsid w:val="00D674F6"/>
    <w:rsid w:val="00D676EE"/>
    <w:rsid w:val="00D70BDC"/>
    <w:rsid w:val="00D7490C"/>
    <w:rsid w:val="00D763EA"/>
    <w:rsid w:val="00D77652"/>
    <w:rsid w:val="00D806EB"/>
    <w:rsid w:val="00D90412"/>
    <w:rsid w:val="00D91761"/>
    <w:rsid w:val="00D934C3"/>
    <w:rsid w:val="00D94233"/>
    <w:rsid w:val="00D946AE"/>
    <w:rsid w:val="00DA2D0B"/>
    <w:rsid w:val="00DA3046"/>
    <w:rsid w:val="00DA372A"/>
    <w:rsid w:val="00DA484C"/>
    <w:rsid w:val="00DB2BAA"/>
    <w:rsid w:val="00DB2DED"/>
    <w:rsid w:val="00DB4B1D"/>
    <w:rsid w:val="00DB6040"/>
    <w:rsid w:val="00DB70A7"/>
    <w:rsid w:val="00DC3352"/>
    <w:rsid w:val="00DC66E7"/>
    <w:rsid w:val="00DC6DDD"/>
    <w:rsid w:val="00DC74EC"/>
    <w:rsid w:val="00DC77B9"/>
    <w:rsid w:val="00DD0393"/>
    <w:rsid w:val="00DD04FE"/>
    <w:rsid w:val="00DD2197"/>
    <w:rsid w:val="00DD282D"/>
    <w:rsid w:val="00DD53E6"/>
    <w:rsid w:val="00DD7DD2"/>
    <w:rsid w:val="00DE0190"/>
    <w:rsid w:val="00DE0779"/>
    <w:rsid w:val="00DE0B04"/>
    <w:rsid w:val="00DE20C1"/>
    <w:rsid w:val="00DE3554"/>
    <w:rsid w:val="00DE5917"/>
    <w:rsid w:val="00DE5B0B"/>
    <w:rsid w:val="00DE67F8"/>
    <w:rsid w:val="00DF53AF"/>
    <w:rsid w:val="00DF60D5"/>
    <w:rsid w:val="00E0078D"/>
    <w:rsid w:val="00E040A2"/>
    <w:rsid w:val="00E04A9C"/>
    <w:rsid w:val="00E10F98"/>
    <w:rsid w:val="00E12A59"/>
    <w:rsid w:val="00E135A7"/>
    <w:rsid w:val="00E228AC"/>
    <w:rsid w:val="00E23653"/>
    <w:rsid w:val="00E25459"/>
    <w:rsid w:val="00E2558E"/>
    <w:rsid w:val="00E309BE"/>
    <w:rsid w:val="00E32AE3"/>
    <w:rsid w:val="00E32EBA"/>
    <w:rsid w:val="00E35A4B"/>
    <w:rsid w:val="00E37764"/>
    <w:rsid w:val="00E40F20"/>
    <w:rsid w:val="00E43709"/>
    <w:rsid w:val="00E4391D"/>
    <w:rsid w:val="00E44370"/>
    <w:rsid w:val="00E47A5E"/>
    <w:rsid w:val="00E51C2C"/>
    <w:rsid w:val="00E51CE2"/>
    <w:rsid w:val="00E53FCE"/>
    <w:rsid w:val="00E56942"/>
    <w:rsid w:val="00E60020"/>
    <w:rsid w:val="00E618DB"/>
    <w:rsid w:val="00E647C1"/>
    <w:rsid w:val="00E67864"/>
    <w:rsid w:val="00E70C1E"/>
    <w:rsid w:val="00E72479"/>
    <w:rsid w:val="00E75305"/>
    <w:rsid w:val="00E76A3D"/>
    <w:rsid w:val="00E76A9F"/>
    <w:rsid w:val="00E77E91"/>
    <w:rsid w:val="00E80D4D"/>
    <w:rsid w:val="00E816C1"/>
    <w:rsid w:val="00E838CA"/>
    <w:rsid w:val="00E84082"/>
    <w:rsid w:val="00E91FDF"/>
    <w:rsid w:val="00E9367A"/>
    <w:rsid w:val="00E936EC"/>
    <w:rsid w:val="00E93EC0"/>
    <w:rsid w:val="00E9427D"/>
    <w:rsid w:val="00E97C39"/>
    <w:rsid w:val="00EA2651"/>
    <w:rsid w:val="00EA4EB0"/>
    <w:rsid w:val="00EA6972"/>
    <w:rsid w:val="00EA6E9D"/>
    <w:rsid w:val="00EA7D1D"/>
    <w:rsid w:val="00EB22C8"/>
    <w:rsid w:val="00EB48D2"/>
    <w:rsid w:val="00EB5059"/>
    <w:rsid w:val="00EB67EC"/>
    <w:rsid w:val="00EC2A70"/>
    <w:rsid w:val="00EC42D8"/>
    <w:rsid w:val="00EC6112"/>
    <w:rsid w:val="00EC6656"/>
    <w:rsid w:val="00ED7B9A"/>
    <w:rsid w:val="00ED7ED8"/>
    <w:rsid w:val="00EE1E12"/>
    <w:rsid w:val="00EE29F8"/>
    <w:rsid w:val="00EE2A2B"/>
    <w:rsid w:val="00EE38D4"/>
    <w:rsid w:val="00EE3A10"/>
    <w:rsid w:val="00EE3A7E"/>
    <w:rsid w:val="00EE3CC0"/>
    <w:rsid w:val="00EE3F47"/>
    <w:rsid w:val="00EE5439"/>
    <w:rsid w:val="00EE6311"/>
    <w:rsid w:val="00EE74CA"/>
    <w:rsid w:val="00EE7CC6"/>
    <w:rsid w:val="00EF0110"/>
    <w:rsid w:val="00EF09AC"/>
    <w:rsid w:val="00EF1E45"/>
    <w:rsid w:val="00EF3936"/>
    <w:rsid w:val="00EF5BB9"/>
    <w:rsid w:val="00EF7CE3"/>
    <w:rsid w:val="00F00638"/>
    <w:rsid w:val="00F02BE6"/>
    <w:rsid w:val="00F0497B"/>
    <w:rsid w:val="00F10DCD"/>
    <w:rsid w:val="00F10EB5"/>
    <w:rsid w:val="00F1357C"/>
    <w:rsid w:val="00F16612"/>
    <w:rsid w:val="00F16783"/>
    <w:rsid w:val="00F178E1"/>
    <w:rsid w:val="00F2047A"/>
    <w:rsid w:val="00F20C05"/>
    <w:rsid w:val="00F21177"/>
    <w:rsid w:val="00F23983"/>
    <w:rsid w:val="00F25E9D"/>
    <w:rsid w:val="00F30712"/>
    <w:rsid w:val="00F31F2F"/>
    <w:rsid w:val="00F3439D"/>
    <w:rsid w:val="00F36BC1"/>
    <w:rsid w:val="00F4090D"/>
    <w:rsid w:val="00F40B00"/>
    <w:rsid w:val="00F4450F"/>
    <w:rsid w:val="00F44C78"/>
    <w:rsid w:val="00F452F5"/>
    <w:rsid w:val="00F46698"/>
    <w:rsid w:val="00F5054C"/>
    <w:rsid w:val="00F513C4"/>
    <w:rsid w:val="00F5329F"/>
    <w:rsid w:val="00F545B2"/>
    <w:rsid w:val="00F57105"/>
    <w:rsid w:val="00F576CB"/>
    <w:rsid w:val="00F60A9A"/>
    <w:rsid w:val="00F63FFD"/>
    <w:rsid w:val="00F65B59"/>
    <w:rsid w:val="00F66157"/>
    <w:rsid w:val="00F67487"/>
    <w:rsid w:val="00F70D61"/>
    <w:rsid w:val="00F70E53"/>
    <w:rsid w:val="00F72617"/>
    <w:rsid w:val="00F72C11"/>
    <w:rsid w:val="00F7417C"/>
    <w:rsid w:val="00F8024C"/>
    <w:rsid w:val="00F80EB6"/>
    <w:rsid w:val="00F81C89"/>
    <w:rsid w:val="00F8213C"/>
    <w:rsid w:val="00F82371"/>
    <w:rsid w:val="00F8415B"/>
    <w:rsid w:val="00F844D5"/>
    <w:rsid w:val="00F9051B"/>
    <w:rsid w:val="00F916B9"/>
    <w:rsid w:val="00F96388"/>
    <w:rsid w:val="00F9686F"/>
    <w:rsid w:val="00FA06DD"/>
    <w:rsid w:val="00FA23FF"/>
    <w:rsid w:val="00FA2453"/>
    <w:rsid w:val="00FA3085"/>
    <w:rsid w:val="00FA3D87"/>
    <w:rsid w:val="00FA4752"/>
    <w:rsid w:val="00FA7A5D"/>
    <w:rsid w:val="00FA7D26"/>
    <w:rsid w:val="00FB255D"/>
    <w:rsid w:val="00FB29A4"/>
    <w:rsid w:val="00FB3431"/>
    <w:rsid w:val="00FB344F"/>
    <w:rsid w:val="00FB6E7F"/>
    <w:rsid w:val="00FB7636"/>
    <w:rsid w:val="00FB7DD0"/>
    <w:rsid w:val="00FC14B2"/>
    <w:rsid w:val="00FC1C3A"/>
    <w:rsid w:val="00FC6182"/>
    <w:rsid w:val="00FD061F"/>
    <w:rsid w:val="00FD1136"/>
    <w:rsid w:val="00FD1DD7"/>
    <w:rsid w:val="00FD51D4"/>
    <w:rsid w:val="00FD689B"/>
    <w:rsid w:val="00FD6DDA"/>
    <w:rsid w:val="00FE0588"/>
    <w:rsid w:val="00FE068A"/>
    <w:rsid w:val="00FE147C"/>
    <w:rsid w:val="00FE1C2E"/>
    <w:rsid w:val="00FE3826"/>
    <w:rsid w:val="00FE3D86"/>
    <w:rsid w:val="00FE4476"/>
    <w:rsid w:val="00FE47C8"/>
    <w:rsid w:val="00FE7BBB"/>
    <w:rsid w:val="00FF1A98"/>
    <w:rsid w:val="00FF41E3"/>
    <w:rsid w:val="00FF450C"/>
    <w:rsid w:val="00FF4C02"/>
    <w:rsid w:val="00FF72E0"/>
    <w:rsid w:val="01903A5C"/>
    <w:rsid w:val="05E530D0"/>
    <w:rsid w:val="05FC5B57"/>
    <w:rsid w:val="062F2669"/>
    <w:rsid w:val="067711E3"/>
    <w:rsid w:val="0747150F"/>
    <w:rsid w:val="0768045D"/>
    <w:rsid w:val="0A0316E8"/>
    <w:rsid w:val="0BC37ACA"/>
    <w:rsid w:val="0D4132C2"/>
    <w:rsid w:val="0DA478C6"/>
    <w:rsid w:val="0F1B721A"/>
    <w:rsid w:val="110B1739"/>
    <w:rsid w:val="12541D09"/>
    <w:rsid w:val="14E505FB"/>
    <w:rsid w:val="16754DE3"/>
    <w:rsid w:val="17E83184"/>
    <w:rsid w:val="18427E65"/>
    <w:rsid w:val="18BD57F6"/>
    <w:rsid w:val="18DF5120"/>
    <w:rsid w:val="1B6D1F0E"/>
    <w:rsid w:val="1EC97B12"/>
    <w:rsid w:val="212F58E2"/>
    <w:rsid w:val="2A134397"/>
    <w:rsid w:val="2B130848"/>
    <w:rsid w:val="2C092C7E"/>
    <w:rsid w:val="308E5F8F"/>
    <w:rsid w:val="31320AF1"/>
    <w:rsid w:val="3E4B4EF6"/>
    <w:rsid w:val="3EEB44FB"/>
    <w:rsid w:val="3FBE4F21"/>
    <w:rsid w:val="49E24261"/>
    <w:rsid w:val="4DB91C26"/>
    <w:rsid w:val="4EB0697B"/>
    <w:rsid w:val="508F0499"/>
    <w:rsid w:val="5135257A"/>
    <w:rsid w:val="553911A9"/>
    <w:rsid w:val="55777FA9"/>
    <w:rsid w:val="558C4B4A"/>
    <w:rsid w:val="5B2C4A64"/>
    <w:rsid w:val="5C542EDE"/>
    <w:rsid w:val="60FC164B"/>
    <w:rsid w:val="6D1D6532"/>
    <w:rsid w:val="70F945FB"/>
    <w:rsid w:val="71A768D5"/>
    <w:rsid w:val="731529C7"/>
    <w:rsid w:val="745B5755"/>
    <w:rsid w:val="764F42B0"/>
    <w:rsid w:val="76642418"/>
    <w:rsid w:val="7C357264"/>
    <w:rsid w:val="7C9410CE"/>
    <w:rsid w:val="7D110214"/>
    <w:rsid w:val="7DF91D06"/>
    <w:rsid w:val="7FC6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cs="Times New Roman" w:asciiTheme="majorEastAsia" w:hAnsiTheme="majorEastAsia" w:eastAsiaTheme="majorEastAsia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keepNext/>
      <w:keepLines/>
      <w:spacing w:before="340" w:after="330" w:line="600" w:lineRule="auto"/>
      <w:outlineLvl w:val="0"/>
    </w:pPr>
    <w:rPr>
      <w:rFonts w:eastAsia="黑体"/>
      <w:bCs/>
      <w:kern w:val="44"/>
      <w:sz w:val="32"/>
      <w:szCs w:val="44"/>
    </w:rPr>
  </w:style>
  <w:style w:type="paragraph" w:styleId="3">
    <w:name w:val="heading 2"/>
    <w:basedOn w:val="1"/>
    <w:next w:val="1"/>
    <w:link w:val="21"/>
    <w:autoRedefine/>
    <w:qFormat/>
    <w:uiPriority w:val="0"/>
    <w:pPr>
      <w:keepNext/>
      <w:keepLines/>
      <w:numPr>
        <w:ilvl w:val="1"/>
        <w:numId w:val="1"/>
      </w:numPr>
      <w:spacing w:before="260" w:after="260" w:line="412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3"/>
    <w:autoRedefine/>
    <w:qFormat/>
    <w:uiPriority w:val="0"/>
    <w:pPr>
      <w:keepNext/>
      <w:keepLines/>
      <w:spacing w:before="260" w:after="260" w:line="412" w:lineRule="auto"/>
      <w:ind w:left="720" w:hanging="720"/>
      <w:outlineLvl w:val="2"/>
    </w:pPr>
    <w:rPr>
      <w:rFonts w:ascii="Times New Roman" w:hAnsi="Times New Roman"/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24"/>
    <w:autoRedefine/>
    <w:qFormat/>
    <w:uiPriority w:val="9"/>
    <w:pPr>
      <w:keepNext/>
      <w:keepLines/>
      <w:spacing w:before="280" w:after="290" w:line="374" w:lineRule="auto"/>
      <w:jc w:val="left"/>
      <w:outlineLvl w:val="3"/>
    </w:pPr>
    <w:rPr>
      <w:rFonts w:ascii="Cambria" w:hAnsi="Cambria" w:eastAsia="黑体"/>
      <w:bCs/>
      <w:kern w:val="0"/>
    </w:rPr>
  </w:style>
  <w:style w:type="paragraph" w:styleId="6">
    <w:name w:val="heading 5"/>
    <w:basedOn w:val="1"/>
    <w:next w:val="1"/>
    <w:link w:val="25"/>
    <w:autoRedefine/>
    <w:qFormat/>
    <w:uiPriority w:val="9"/>
    <w:pPr>
      <w:keepNext/>
      <w:keepLines/>
      <w:spacing w:before="280" w:after="290" w:line="360" w:lineRule="auto"/>
      <w:outlineLvl w:val="4"/>
    </w:pPr>
    <w:rPr>
      <w:rFonts w:eastAsia="黑体"/>
      <w:bCs/>
      <w:kern w:val="0"/>
    </w:rPr>
  </w:style>
  <w:style w:type="paragraph" w:styleId="7">
    <w:name w:val="heading 6"/>
    <w:basedOn w:val="1"/>
    <w:next w:val="1"/>
    <w:link w:val="26"/>
    <w:autoRedefine/>
    <w:qFormat/>
    <w:uiPriority w:val="9"/>
    <w:pPr>
      <w:keepNext/>
      <w:keepLines/>
      <w:spacing w:before="240" w:after="64" w:line="319" w:lineRule="auto"/>
      <w:ind w:left="1152" w:hanging="1152"/>
      <w:outlineLvl w:val="5"/>
    </w:pPr>
    <w:rPr>
      <w:rFonts w:ascii="Cambria" w:hAnsi="Cambria"/>
      <w:b/>
      <w:bCs/>
      <w:kern w:val="0"/>
      <w:sz w:val="24"/>
      <w:szCs w:val="24"/>
    </w:rPr>
  </w:style>
  <w:style w:type="paragraph" w:styleId="8">
    <w:name w:val="heading 7"/>
    <w:basedOn w:val="1"/>
    <w:next w:val="1"/>
    <w:link w:val="27"/>
    <w:autoRedefine/>
    <w:qFormat/>
    <w:uiPriority w:val="9"/>
    <w:pPr>
      <w:keepNext/>
      <w:keepLines/>
      <w:spacing w:before="240" w:after="64" w:line="319" w:lineRule="auto"/>
      <w:ind w:left="1296" w:hanging="1296"/>
      <w:outlineLvl w:val="6"/>
    </w:pPr>
    <w:rPr>
      <w:b/>
      <w:bCs/>
      <w:kern w:val="0"/>
      <w:sz w:val="24"/>
      <w:szCs w:val="24"/>
    </w:rPr>
  </w:style>
  <w:style w:type="paragraph" w:styleId="9">
    <w:name w:val="heading 8"/>
    <w:basedOn w:val="1"/>
    <w:next w:val="1"/>
    <w:link w:val="28"/>
    <w:autoRedefine/>
    <w:qFormat/>
    <w:uiPriority w:val="9"/>
    <w:pPr>
      <w:keepNext/>
      <w:keepLines/>
      <w:spacing w:before="240" w:after="64" w:line="319" w:lineRule="auto"/>
      <w:ind w:left="1440" w:hanging="1440"/>
      <w:outlineLvl w:val="7"/>
    </w:pPr>
    <w:rPr>
      <w:rFonts w:ascii="Cambria" w:hAnsi="Cambria"/>
      <w:kern w:val="0"/>
      <w:sz w:val="24"/>
      <w:szCs w:val="24"/>
    </w:rPr>
  </w:style>
  <w:style w:type="paragraph" w:styleId="10">
    <w:name w:val="heading 9"/>
    <w:basedOn w:val="1"/>
    <w:next w:val="1"/>
    <w:link w:val="29"/>
    <w:autoRedefine/>
    <w:qFormat/>
    <w:uiPriority w:val="9"/>
    <w:pPr>
      <w:keepNext/>
      <w:keepLines/>
      <w:spacing w:before="240" w:after="64" w:line="319" w:lineRule="auto"/>
      <w:ind w:left="1584" w:hanging="1584"/>
      <w:outlineLvl w:val="8"/>
    </w:pPr>
    <w:rPr>
      <w:rFonts w:ascii="Cambria" w:hAnsi="Cambria"/>
      <w:kern w:val="0"/>
      <w:sz w:val="20"/>
      <w:szCs w:val="21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12">
    <w:name w:val="footer"/>
    <w:basedOn w:val="1"/>
    <w:link w:val="2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段"/>
    <w:link w:val="18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8">
    <w:name w:val="段 Char"/>
    <w:link w:val="17"/>
    <w:autoRedefine/>
    <w:qFormat/>
    <w:uiPriority w:val="0"/>
    <w:rPr>
      <w:rFonts w:ascii="宋体" w:hAnsi="Times New Roman" w:eastAsia="宋体" w:cs="Times New Roman"/>
      <w:kern w:val="0"/>
      <w:szCs w:val="20"/>
    </w:rPr>
  </w:style>
  <w:style w:type="character" w:customStyle="1" w:styleId="19">
    <w:name w:val="页眉 Char"/>
    <w:basedOn w:val="16"/>
    <w:link w:val="13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0">
    <w:name w:val="页脚 Char"/>
    <w:basedOn w:val="16"/>
    <w:link w:val="12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1">
    <w:name w:val="标题 2 Char"/>
    <w:basedOn w:val="16"/>
    <w:link w:val="3"/>
    <w:autoRedefine/>
    <w:qFormat/>
    <w:uiPriority w:val="0"/>
    <w:rPr>
      <w:rFonts w:ascii="Arial" w:hAnsi="Arial" w:eastAsia="黑体" w:cs="Times New Roman"/>
      <w:b/>
      <w:bCs/>
      <w:kern w:val="0"/>
      <w:sz w:val="32"/>
      <w:szCs w:val="32"/>
    </w:rPr>
  </w:style>
  <w:style w:type="character" w:customStyle="1" w:styleId="22">
    <w:name w:val="标题 1 Char"/>
    <w:basedOn w:val="16"/>
    <w:link w:val="2"/>
    <w:autoRedefine/>
    <w:qFormat/>
    <w:uiPriority w:val="9"/>
    <w:rPr>
      <w:rFonts w:eastAsia="黑体" w:asciiTheme="majorEastAsia" w:hAnsiTheme="majorEastAsia"/>
      <w:bCs/>
      <w:kern w:val="44"/>
      <w:sz w:val="32"/>
      <w:szCs w:val="44"/>
    </w:rPr>
  </w:style>
  <w:style w:type="character" w:customStyle="1" w:styleId="23">
    <w:name w:val="标题 3 Char"/>
    <w:basedOn w:val="16"/>
    <w:link w:val="4"/>
    <w:autoRedefine/>
    <w:qFormat/>
    <w:uiPriority w:val="0"/>
    <w:rPr>
      <w:rFonts w:ascii="Times New Roman" w:hAnsi="Times New Roman" w:eastAsia="宋体" w:cs="Times New Roman"/>
      <w:b/>
      <w:bCs/>
      <w:kern w:val="0"/>
      <w:sz w:val="32"/>
      <w:szCs w:val="32"/>
    </w:rPr>
  </w:style>
  <w:style w:type="character" w:customStyle="1" w:styleId="24">
    <w:name w:val="标题 4 Char"/>
    <w:basedOn w:val="16"/>
    <w:link w:val="5"/>
    <w:autoRedefine/>
    <w:qFormat/>
    <w:uiPriority w:val="9"/>
    <w:rPr>
      <w:rFonts w:ascii="Cambria" w:hAnsi="Cambria" w:eastAsia="黑体"/>
      <w:bCs/>
      <w:sz w:val="28"/>
      <w:szCs w:val="28"/>
    </w:rPr>
  </w:style>
  <w:style w:type="character" w:customStyle="1" w:styleId="25">
    <w:name w:val="标题 5 Char"/>
    <w:basedOn w:val="16"/>
    <w:link w:val="6"/>
    <w:autoRedefine/>
    <w:qFormat/>
    <w:uiPriority w:val="9"/>
    <w:rPr>
      <w:rFonts w:eastAsia="黑体" w:asciiTheme="majorEastAsia" w:hAnsiTheme="majorEastAsia"/>
      <w:bCs/>
      <w:sz w:val="28"/>
      <w:szCs w:val="28"/>
    </w:rPr>
  </w:style>
  <w:style w:type="character" w:customStyle="1" w:styleId="26">
    <w:name w:val="标题 6 Char"/>
    <w:basedOn w:val="16"/>
    <w:link w:val="7"/>
    <w:autoRedefine/>
    <w:qFormat/>
    <w:uiPriority w:val="9"/>
    <w:rPr>
      <w:rFonts w:ascii="Cambria" w:hAnsi="Cambria" w:eastAsia="宋体" w:cs="Times New Roman"/>
      <w:b/>
      <w:bCs/>
      <w:kern w:val="0"/>
      <w:sz w:val="24"/>
      <w:szCs w:val="24"/>
    </w:rPr>
  </w:style>
  <w:style w:type="character" w:customStyle="1" w:styleId="27">
    <w:name w:val="标题 7 Char"/>
    <w:basedOn w:val="16"/>
    <w:link w:val="8"/>
    <w:autoRedefine/>
    <w:qFormat/>
    <w:uiPriority w:val="9"/>
    <w:rPr>
      <w:rFonts w:ascii="Calibri" w:hAnsi="Calibri" w:eastAsia="宋体" w:cs="Times New Roman"/>
      <w:b/>
      <w:bCs/>
      <w:kern w:val="0"/>
      <w:sz w:val="24"/>
      <w:szCs w:val="24"/>
    </w:rPr>
  </w:style>
  <w:style w:type="character" w:customStyle="1" w:styleId="28">
    <w:name w:val="标题 8 Char"/>
    <w:basedOn w:val="16"/>
    <w:link w:val="9"/>
    <w:autoRedefine/>
    <w:qFormat/>
    <w:uiPriority w:val="9"/>
    <w:rPr>
      <w:rFonts w:ascii="Cambria" w:hAnsi="Cambria" w:eastAsia="宋体" w:cs="Times New Roman"/>
      <w:kern w:val="0"/>
      <w:sz w:val="24"/>
      <w:szCs w:val="24"/>
    </w:rPr>
  </w:style>
  <w:style w:type="character" w:customStyle="1" w:styleId="29">
    <w:name w:val="标题 9 Char"/>
    <w:basedOn w:val="16"/>
    <w:link w:val="10"/>
    <w:autoRedefine/>
    <w:qFormat/>
    <w:uiPriority w:val="9"/>
    <w:rPr>
      <w:rFonts w:ascii="Cambria" w:hAnsi="Cambria" w:eastAsia="宋体" w:cs="Times New Roman"/>
      <w:kern w:val="0"/>
      <w:sz w:val="20"/>
      <w:szCs w:val="21"/>
    </w:rPr>
  </w:style>
  <w:style w:type="paragraph" w:styleId="3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31">
    <w:name w:val="段 Char Char"/>
    <w:autoRedefine/>
    <w:qFormat/>
    <w:uiPriority w:val="0"/>
    <w:rPr>
      <w:rFonts w:ascii="宋体"/>
      <w:sz w:val="21"/>
      <w:lang w:val="en-US" w:eastAsia="zh-CN" w:bidi="ar-SA"/>
    </w:rPr>
  </w:style>
  <w:style w:type="paragraph" w:customStyle="1" w:styleId="32">
    <w:name w:val="msolistparagraph"/>
    <w:basedOn w:val="1"/>
    <w:autoRedefine/>
    <w:qFormat/>
    <w:uiPriority w:val="0"/>
    <w:pPr>
      <w:ind w:firstLine="420" w:firstLineChars="200"/>
    </w:pPr>
  </w:style>
  <w:style w:type="paragraph" w:customStyle="1" w:styleId="33">
    <w:name w:val="普通 (Web)"/>
    <w:basedOn w:val="1"/>
    <w:autoRedefine/>
    <w:qFormat/>
    <w:uiPriority w:val="0"/>
    <w:pPr>
      <w:widowControl/>
      <w:numPr>
        <w:ilvl w:val="0"/>
        <w:numId w:val="2"/>
      </w:numPr>
      <w:spacing w:before="100" w:after="100"/>
      <w:jc w:val="left"/>
    </w:pPr>
    <w:rPr>
      <w:rFonts w:ascii="宋体" w:hAnsi="宋体"/>
      <w:kern w:val="0"/>
    </w:rPr>
  </w:style>
  <w:style w:type="paragraph" w:customStyle="1" w:styleId="34">
    <w:name w:val="标准文件_段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9</Pages>
  <Words>2502</Words>
  <Characters>213</Characters>
  <Lines>1</Lines>
  <Paragraphs>5</Paragraphs>
  <TotalTime>220</TotalTime>
  <ScaleCrop>false</ScaleCrop>
  <LinksUpToDate>false</LinksUpToDate>
  <CharactersWithSpaces>2710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2022-03-31T10:21:00Z</dcterms:created>
  <dc:creator>姚渊</dc:creator>
  <cp:lastModifiedBy>小松1406293082</cp:lastModifiedBy>
  <cp:lastPrinted>2021-11-04T14:52:00Z</cp:lastPrinted>
  <dcterms:modified xsi:type="dcterms:W3CDTF">2024-08-20T16:26:11Z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52F0995D5FF9E8EB2353C4660A077C58_43</vt:lpwstr>
  </property>
</Properties>
</file>