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 w:val="center" w:pos="3362"/>
          <w:tab w:val="right" w:pos="6725"/>
        </w:tabs>
        <w:adjustRightInd w:val="0"/>
        <w:snapToGrid w:val="0"/>
        <w:ind w:left="-315" w:leftChars="-150" w:right="-340" w:rightChars="-162"/>
        <w:jc w:val="left"/>
        <w:rPr>
          <w:rFonts w:ascii="Times New Roman" w:hAnsi="Times New Roman" w:eastAsia="黑体" w:cs="Times New Roman"/>
          <w:szCs w:val="21"/>
        </w:rPr>
      </w:pPr>
      <w:bookmarkStart w:id="0" w:name="_Hlk75876992"/>
      <w:r>
        <w:rPr>
          <w:rFonts w:ascii="Times New Roman" w:hAnsi="Times New Roman" w:cs="Times New Roman"/>
        </w:rPr>
        <w:drawing>
          <wp:anchor distT="0" distB="0" distL="114300" distR="114300" simplePos="0" relativeHeight="251659264" behindDoc="1" locked="0" layoutInCell="1" allowOverlap="1">
            <wp:simplePos x="0" y="0"/>
            <wp:positionH relativeFrom="column">
              <wp:posOffset>3348355</wp:posOffset>
            </wp:positionH>
            <wp:positionV relativeFrom="paragraph">
              <wp:posOffset>-42545</wp:posOffset>
            </wp:positionV>
            <wp:extent cx="2099945" cy="512445"/>
            <wp:effectExtent l="0" t="0" r="5080"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099945" cy="512445"/>
                    </a:xfrm>
                    <a:prstGeom prst="rect">
                      <a:avLst/>
                    </a:prstGeom>
                    <a:noFill/>
                    <a:ln>
                      <a:noFill/>
                    </a:ln>
                  </pic:spPr>
                </pic:pic>
              </a:graphicData>
            </a:graphic>
          </wp:anchor>
        </w:drawing>
      </w:r>
    </w:p>
    <w:p>
      <w:pPr>
        <w:tabs>
          <w:tab w:val="left" w:pos="567"/>
          <w:tab w:val="center" w:pos="3362"/>
          <w:tab w:val="right" w:pos="6725"/>
        </w:tabs>
        <w:adjustRightInd w:val="0"/>
        <w:snapToGrid w:val="0"/>
        <w:ind w:right="-340" w:rightChars="-162"/>
        <w:jc w:val="left"/>
        <w:rPr>
          <w:rFonts w:ascii="Times New Roman" w:hAnsi="Times New Roman" w:cs="Times New Roman"/>
          <w:b/>
          <w:sz w:val="32"/>
          <w:szCs w:val="32"/>
        </w:rPr>
      </w:pPr>
    </w:p>
    <w:p>
      <w:pPr>
        <w:tabs>
          <w:tab w:val="left" w:pos="567"/>
          <w:tab w:val="center" w:pos="3362"/>
          <w:tab w:val="right" w:pos="6725"/>
        </w:tabs>
        <w:adjustRightInd w:val="0"/>
        <w:snapToGrid w:val="0"/>
        <w:ind w:right="-340" w:rightChars="-162"/>
        <w:jc w:val="left"/>
        <w:rPr>
          <w:rFonts w:ascii="Times New Roman" w:hAnsi="Times New Roman" w:cs="Times New Roman"/>
          <w:b/>
          <w:sz w:val="32"/>
          <w:szCs w:val="32"/>
        </w:rPr>
      </w:pPr>
    </w:p>
    <w:p>
      <w:pPr>
        <w:tabs>
          <w:tab w:val="left" w:pos="567"/>
          <w:tab w:val="center" w:pos="3362"/>
          <w:tab w:val="right" w:pos="6725"/>
        </w:tabs>
        <w:ind w:left="-210" w:leftChars="-100" w:right="-340" w:rightChars="-162" w:firstLine="494"/>
        <w:jc w:val="center"/>
        <w:rPr>
          <w:rFonts w:ascii="Times New Roman" w:hAnsi="Times New Roman" w:cs="Times New Roman"/>
          <w:b/>
          <w:spacing w:val="80"/>
          <w:sz w:val="72"/>
          <w:szCs w:val="72"/>
        </w:rPr>
      </w:pPr>
      <w:r>
        <w:rPr>
          <w:rFonts w:ascii="Times New Roman" w:hAnsi="Times New Roman" w:cs="Times New Roman"/>
          <w:b/>
          <w:spacing w:val="80"/>
          <w:sz w:val="72"/>
          <w:szCs w:val="72"/>
        </w:rPr>
        <w:t>团体标准</w:t>
      </w:r>
      <w:r>
        <w:rPr>
          <w:rFonts w:hint="eastAsia" w:ascii="Times New Roman" w:hAnsi="Times New Roman" w:cs="Times New Roman"/>
          <w:b/>
          <w:spacing w:val="80"/>
          <w:sz w:val="72"/>
          <w:szCs w:val="72"/>
        </w:rPr>
        <w:t>编制说明</w:t>
      </w:r>
    </w:p>
    <w:p>
      <w:pPr>
        <w:spacing w:line="360" w:lineRule="auto"/>
        <w:ind w:right="-340" w:rightChars="-162"/>
        <w:jc w:val="center"/>
        <w:rPr>
          <w:rFonts w:ascii="Times New Roman" w:hAnsi="Times New Roman" w:eastAsia="黑体" w:cs="Times New Roman"/>
          <w:sz w:val="28"/>
          <w:szCs w:val="28"/>
        </w:rPr>
      </w:pPr>
      <w:r>
        <w:rPr>
          <w:rFonts w:ascii="Times New Roman" w:hAnsi="Times New Roman" w:eastAsia="黑体" w:cs="Times New Roman"/>
          <w:sz w:val="36"/>
          <w:szCs w:val="36"/>
          <w:u w:val="thick"/>
        </w:rPr>
        <mc:AlternateContent>
          <mc:Choice Requires="wps">
            <w:drawing>
              <wp:anchor distT="0" distB="0" distL="114300" distR="114300" simplePos="0" relativeHeight="251660288" behindDoc="0" locked="0" layoutInCell="1" allowOverlap="1">
                <wp:simplePos x="0" y="0"/>
                <wp:positionH relativeFrom="column">
                  <wp:posOffset>-163830</wp:posOffset>
                </wp:positionH>
                <wp:positionV relativeFrom="paragraph">
                  <wp:posOffset>387350</wp:posOffset>
                </wp:positionV>
                <wp:extent cx="5553710" cy="0"/>
                <wp:effectExtent l="0" t="9525" r="8890" b="9525"/>
                <wp:wrapNone/>
                <wp:docPr id="77" name="直接连接符 77"/>
                <wp:cNvGraphicFramePr/>
                <a:graphic xmlns:a="http://schemas.openxmlformats.org/drawingml/2006/main">
                  <a:graphicData uri="http://schemas.microsoft.com/office/word/2010/wordprocessingShape">
                    <wps:wsp>
                      <wps:cNvCnPr>
                        <a:cxnSpLocks noChangeShapeType="1"/>
                      </wps:cNvCnPr>
                      <wps:spPr bwMode="auto">
                        <a:xfrm>
                          <a:off x="0" y="0"/>
                          <a:ext cx="5553710" cy="0"/>
                        </a:xfrm>
                        <a:prstGeom prst="line">
                          <a:avLst/>
                        </a:prstGeom>
                        <a:noFill/>
                        <a:ln w="19050">
                          <a:solidFill>
                            <a:srgbClr val="000000"/>
                          </a:solidFill>
                          <a:round/>
                        </a:ln>
                        <a:effectLst/>
                      </wps:spPr>
                      <wps:bodyPr/>
                    </wps:wsp>
                  </a:graphicData>
                </a:graphic>
              </wp:anchor>
            </w:drawing>
          </mc:Choice>
          <mc:Fallback>
            <w:pict>
              <v:line id="_x0000_s1026" o:spid="_x0000_s1026" o:spt="20" style="position:absolute;left:0pt;margin-left:-12.9pt;margin-top:30.5pt;height:0pt;width:437.3pt;z-index:251660288;mso-width-relative:page;mso-height-relative:page;" filled="f" stroked="t" coordsize="21600,21600" o:gfxdata="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WAAAAZHJz&#10;L1BLAQIUABQAAAAIAIdO4kBrguR/1QAAAAkBAAAPAAAAAAAAAAEAIAAAADgAAABkcnMvZG93bnJl&#10;di54bWxQSwECFAAUAAAACACHTuJAJ05FIeoBAAC7AwAADgAAAAAAAAABACAAAAA6AQAAZHJzL2Uy&#10;b0RvYy54bWxQSwUGAAAAAAYABgBZAQAAlgUAAAAA&#10;">
                <v:fill on="f" focussize="0,0"/>
                <v:stroke weight="1.5pt" color="#000000" joinstyle="round"/>
                <v:imagedata o:title=""/>
                <o:lock v:ext="edit" aspectratio="f"/>
              </v:line>
            </w:pict>
          </mc:Fallback>
        </mc:AlternateContent>
      </w:r>
      <w:r>
        <w:rPr>
          <w:rFonts w:ascii="Times New Roman" w:hAnsi="Times New Roman" w:eastAsia="黑体" w:cs="Times New Roman"/>
          <w:sz w:val="28"/>
          <w:szCs w:val="28"/>
        </w:rPr>
        <w:t xml:space="preserve">                           </w:t>
      </w:r>
    </w:p>
    <w:p>
      <w:pPr>
        <w:ind w:left="-210" w:leftChars="-100" w:right="-340" w:rightChars="-162" w:firstLine="420"/>
        <w:jc w:val="center"/>
        <w:rPr>
          <w:rFonts w:ascii="Times New Roman" w:hAnsi="Times New Roman" w:cs="Times New Roman"/>
          <w:szCs w:val="22"/>
          <w:u w:val="single"/>
        </w:rPr>
      </w:pPr>
    </w:p>
    <w:p>
      <w:pPr>
        <w:ind w:left="-210" w:leftChars="-100" w:right="-340" w:rightChars="-162" w:firstLine="420"/>
        <w:jc w:val="center"/>
        <w:rPr>
          <w:rFonts w:ascii="Times New Roman" w:hAnsi="Times New Roman" w:cs="Times New Roman"/>
          <w:szCs w:val="22"/>
          <w:u w:val="thick"/>
        </w:rPr>
      </w:pPr>
    </w:p>
    <w:p>
      <w:pPr>
        <w:ind w:left="-210" w:leftChars="-100" w:right="-340" w:rightChars="-162" w:firstLine="420"/>
        <w:jc w:val="center"/>
        <w:rPr>
          <w:rFonts w:ascii="Times New Roman" w:hAnsi="Times New Roman" w:cs="Times New Roman"/>
          <w:szCs w:val="22"/>
          <w:u w:val="thick"/>
        </w:rPr>
      </w:pPr>
    </w:p>
    <w:p>
      <w:pPr>
        <w:ind w:left="-210" w:leftChars="-100" w:right="-340" w:rightChars="-162" w:firstLine="420"/>
        <w:jc w:val="center"/>
        <w:rPr>
          <w:rFonts w:ascii="Times New Roman" w:hAnsi="Times New Roman" w:cs="Times New Roman"/>
          <w:szCs w:val="22"/>
          <w:u w:val="thick"/>
        </w:rPr>
      </w:pPr>
    </w:p>
    <w:p>
      <w:pPr>
        <w:ind w:left="-210" w:leftChars="-100" w:right="-340" w:rightChars="-162" w:firstLine="420"/>
        <w:jc w:val="center"/>
        <w:rPr>
          <w:rFonts w:ascii="Times New Roman" w:hAnsi="Times New Roman" w:cs="Times New Roman"/>
          <w:szCs w:val="22"/>
          <w:u w:val="thick"/>
        </w:rPr>
      </w:pPr>
    </w:p>
    <w:p>
      <w:pPr>
        <w:ind w:left="-210" w:leftChars="-100" w:right="-340" w:rightChars="-162" w:firstLine="420"/>
        <w:jc w:val="center"/>
        <w:rPr>
          <w:rFonts w:ascii="Times New Roman" w:hAnsi="Times New Roman" w:cs="Times New Roman"/>
          <w:szCs w:val="22"/>
          <w:u w:val="thick"/>
        </w:rPr>
      </w:pPr>
    </w:p>
    <w:p>
      <w:pPr>
        <w:ind w:left="-210" w:leftChars="-100" w:right="-340" w:rightChars="-162" w:firstLine="420"/>
        <w:jc w:val="center"/>
        <w:rPr>
          <w:rFonts w:ascii="Times New Roman" w:hAnsi="Times New Roman" w:cs="Times New Roman"/>
          <w:szCs w:val="22"/>
          <w:u w:val="thick"/>
        </w:rPr>
      </w:pPr>
    </w:p>
    <w:p>
      <w:pPr>
        <w:spacing w:line="360" w:lineRule="auto"/>
        <w:ind w:left="-210" w:leftChars="-100" w:right="-340" w:rightChars="-162" w:firstLine="210"/>
        <w:jc w:val="center"/>
        <w:rPr>
          <w:rFonts w:hint="eastAsia" w:ascii="Times New Roman" w:hAnsi="Times New Roman" w:eastAsia="黑体" w:cs="Times New Roman"/>
          <w:bCs/>
          <w:sz w:val="52"/>
          <w:szCs w:val="52"/>
          <w:lang w:val="en-US" w:eastAsia="zh-CN"/>
        </w:rPr>
      </w:pPr>
      <w:r>
        <w:rPr>
          <w:rFonts w:hint="eastAsia" w:ascii="Times New Roman" w:hAnsi="Times New Roman" w:eastAsia="黑体" w:cs="Times New Roman"/>
          <w:bCs/>
          <w:spacing w:val="-6"/>
          <w:sz w:val="52"/>
          <w:szCs w:val="52"/>
        </w:rPr>
        <w:t>桩基码头后方及下方清淤施工技术</w:t>
      </w:r>
      <w:r>
        <w:rPr>
          <w:rFonts w:hint="eastAsia" w:ascii="Times New Roman" w:hAnsi="Times New Roman" w:eastAsia="黑体" w:cs="Times New Roman"/>
          <w:bCs/>
          <w:spacing w:val="-6"/>
          <w:sz w:val="52"/>
          <w:szCs w:val="52"/>
          <w:lang w:val="en-US" w:eastAsia="zh-CN"/>
        </w:rPr>
        <w:t>规范</w:t>
      </w:r>
    </w:p>
    <w:p>
      <w:pPr>
        <w:spacing w:line="360" w:lineRule="auto"/>
        <w:ind w:left="-210" w:leftChars="-100" w:right="-340" w:rightChars="-162" w:firstLine="210"/>
        <w:jc w:val="center"/>
      </w:pPr>
      <w:r>
        <w:rPr>
          <w:rFonts w:hint="eastAsia" w:ascii="Times New Roman" w:hAnsi="Times New Roman" w:eastAsia="黑体" w:cs="Times New Roman"/>
          <w:bCs/>
          <w:sz w:val="52"/>
          <w:szCs w:val="52"/>
        </w:rPr>
        <w:t>编制说明</w:t>
      </w:r>
    </w:p>
    <w:p>
      <w:pPr>
        <w:spacing w:line="360" w:lineRule="auto"/>
        <w:ind w:left="-210" w:leftChars="-100" w:right="-340" w:rightChars="-162" w:firstLine="210"/>
        <w:jc w:val="center"/>
        <w:rPr>
          <w:rFonts w:ascii="Times New Roman" w:hAnsi="Times New Roman" w:eastAsia="黑体" w:cs="Times New Roman"/>
          <w:bCs/>
          <w:sz w:val="52"/>
          <w:szCs w:val="52"/>
        </w:rPr>
      </w:pPr>
    </w:p>
    <w:bookmarkEnd w:id="0"/>
    <w:p>
      <w:pPr>
        <w:ind w:right="-340" w:rightChars="-162"/>
        <w:rPr>
          <w:rFonts w:ascii="Times New Roman" w:hAnsi="Times New Roman" w:cs="Times New Roman"/>
          <w:szCs w:val="22"/>
        </w:rPr>
      </w:pPr>
    </w:p>
    <w:p>
      <w:pPr>
        <w:ind w:right="-340" w:rightChars="-162"/>
        <w:rPr>
          <w:rFonts w:ascii="宋体" w:hAnsi="宋体" w:eastAsia="宋体" w:cs="宋体"/>
          <w:b/>
          <w:sz w:val="32"/>
          <w:szCs w:val="32"/>
          <w:lang w:bidi="ar"/>
        </w:rPr>
      </w:pPr>
    </w:p>
    <w:p>
      <w:pPr>
        <w:ind w:right="-340" w:rightChars="-162"/>
        <w:rPr>
          <w:rFonts w:ascii="宋体" w:hAnsi="宋体" w:eastAsia="宋体" w:cs="宋体"/>
          <w:b/>
          <w:sz w:val="32"/>
          <w:szCs w:val="32"/>
          <w:lang w:bidi="ar"/>
        </w:rPr>
      </w:pPr>
    </w:p>
    <w:p>
      <w:pPr>
        <w:ind w:right="-340" w:rightChars="-162"/>
        <w:rPr>
          <w:rFonts w:ascii="宋体" w:hAnsi="宋体" w:eastAsia="宋体" w:cs="宋体"/>
          <w:b/>
          <w:sz w:val="32"/>
          <w:szCs w:val="32"/>
          <w:lang w:bidi="ar"/>
        </w:rPr>
      </w:pPr>
    </w:p>
    <w:p>
      <w:pPr>
        <w:ind w:right="-340" w:rightChars="-162"/>
        <w:rPr>
          <w:rFonts w:ascii="宋体" w:hAnsi="宋体" w:eastAsia="宋体" w:cs="宋体"/>
          <w:b/>
          <w:sz w:val="32"/>
          <w:szCs w:val="32"/>
          <w:lang w:bidi="ar"/>
        </w:rPr>
      </w:pPr>
    </w:p>
    <w:p>
      <w:pPr>
        <w:ind w:right="-340" w:rightChars="-162"/>
        <w:rPr>
          <w:rFonts w:ascii="宋体" w:hAnsi="宋体" w:eastAsia="宋体" w:cs="宋体"/>
          <w:b/>
          <w:sz w:val="32"/>
          <w:szCs w:val="32"/>
          <w:lang w:bidi="ar"/>
        </w:rPr>
      </w:pPr>
    </w:p>
    <w:p>
      <w:pPr>
        <w:ind w:right="-340" w:rightChars="-162"/>
        <w:rPr>
          <w:rFonts w:ascii="宋体" w:hAnsi="宋体" w:eastAsia="宋体" w:cs="宋体"/>
          <w:b/>
          <w:sz w:val="32"/>
          <w:szCs w:val="32"/>
          <w:lang w:bidi="ar"/>
        </w:rPr>
      </w:pPr>
    </w:p>
    <w:p>
      <w:pPr>
        <w:ind w:right="-340" w:rightChars="-162"/>
        <w:rPr>
          <w:rFonts w:ascii="宋体" w:hAnsi="宋体" w:eastAsia="宋体" w:cs="宋体"/>
          <w:b/>
          <w:sz w:val="32"/>
          <w:szCs w:val="32"/>
          <w:lang w:bidi="ar"/>
        </w:rPr>
      </w:pPr>
    </w:p>
    <w:p>
      <w:pPr>
        <w:ind w:right="-340" w:rightChars="-162"/>
        <w:rPr>
          <w:rFonts w:ascii="宋体" w:hAnsi="宋体" w:eastAsia="宋体" w:cs="宋体"/>
          <w:b/>
          <w:sz w:val="32"/>
          <w:szCs w:val="32"/>
          <w:lang w:bidi="ar"/>
        </w:rPr>
      </w:pPr>
    </w:p>
    <w:p>
      <w:pPr>
        <w:ind w:right="-340" w:rightChars="-162"/>
        <w:rPr>
          <w:rFonts w:ascii="宋体" w:hAnsi="宋体" w:eastAsia="宋体" w:cs="宋体"/>
          <w:b/>
          <w:sz w:val="32"/>
          <w:szCs w:val="32"/>
          <w:lang w:bidi="ar"/>
        </w:rPr>
      </w:pPr>
    </w:p>
    <w:p>
      <w:pPr>
        <w:ind w:right="-340" w:rightChars="-162"/>
        <w:rPr>
          <w:rFonts w:ascii="宋体" w:hAnsi="宋体" w:eastAsia="宋体" w:cs="宋体"/>
          <w:b/>
          <w:sz w:val="32"/>
          <w:szCs w:val="32"/>
          <w:lang w:bidi="ar"/>
        </w:rPr>
      </w:pPr>
    </w:p>
    <w:p>
      <w:pPr>
        <w:ind w:right="-340" w:rightChars="-162" w:firstLine="961" w:firstLineChars="300"/>
        <w:rPr>
          <w:rFonts w:ascii="宋体" w:hAnsi="宋体" w:eastAsia="宋体" w:cs="宋体"/>
          <w:b/>
          <w:sz w:val="32"/>
          <w:szCs w:val="32"/>
          <w:lang w:bidi="ar"/>
        </w:rPr>
      </w:pPr>
      <w:r>
        <w:rPr>
          <w:rFonts w:hint="eastAsia" w:ascii="宋体" w:hAnsi="宋体" w:eastAsia="宋体" w:cs="宋体"/>
          <w:b/>
          <w:sz w:val="32"/>
          <w:szCs w:val="32"/>
          <w:lang w:bidi="ar"/>
        </w:rPr>
        <w:t>桩基码头后方及下方清淤施工技术</w:t>
      </w:r>
      <w:r>
        <w:rPr>
          <w:rFonts w:hint="eastAsia" w:ascii="宋体" w:hAnsi="宋体" w:eastAsia="宋体" w:cs="宋体"/>
          <w:b/>
          <w:sz w:val="32"/>
          <w:szCs w:val="32"/>
          <w:lang w:val="en-US" w:eastAsia="zh-CN" w:bidi="ar"/>
        </w:rPr>
        <w:t>规范</w:t>
      </w:r>
      <w:bookmarkStart w:id="3" w:name="_GoBack"/>
      <w:bookmarkEnd w:id="3"/>
      <w:r>
        <w:rPr>
          <w:rFonts w:hint="eastAsia" w:ascii="宋体" w:hAnsi="宋体" w:eastAsia="宋体" w:cs="宋体"/>
          <w:b/>
          <w:sz w:val="32"/>
          <w:szCs w:val="32"/>
          <w:lang w:bidi="ar"/>
        </w:rPr>
        <w:t>编制说明</w:t>
      </w:r>
    </w:p>
    <w:p>
      <w:pPr>
        <w:ind w:right="-340" w:rightChars="-162"/>
        <w:jc w:val="center"/>
        <w:rPr>
          <w:rFonts w:ascii="宋体" w:hAnsi="宋体" w:eastAsia="宋体" w:cs="宋体"/>
          <w:sz w:val="24"/>
        </w:rPr>
      </w:pPr>
      <w:r>
        <w:rPr>
          <w:rFonts w:hint="eastAsia" w:ascii="宋体" w:hAnsi="宋体" w:eastAsia="宋体" w:cs="宋体"/>
          <w:sz w:val="36"/>
          <w:szCs w:val="36"/>
          <w:lang w:bidi="ar"/>
        </w:rPr>
        <w:t xml:space="preserve"> </w:t>
      </w:r>
    </w:p>
    <w:p>
      <w:pPr>
        <w:numPr>
          <w:ilvl w:val="0"/>
          <w:numId w:val="1"/>
        </w:numPr>
        <w:spacing w:line="360" w:lineRule="auto"/>
        <w:ind w:right="-340" w:rightChars="-162" w:firstLine="480"/>
        <w:rPr>
          <w:rFonts w:ascii="宋体" w:hAnsi="宋体" w:eastAsia="宋体" w:cs="宋体"/>
          <w:b/>
          <w:bCs/>
          <w:sz w:val="24"/>
          <w:lang w:bidi="ar"/>
        </w:rPr>
      </w:pPr>
      <w:r>
        <w:rPr>
          <w:rFonts w:hint="eastAsia" w:ascii="宋体" w:hAnsi="宋体" w:eastAsia="宋体" w:cs="宋体"/>
          <w:b/>
          <w:bCs/>
          <w:sz w:val="24"/>
          <w:lang w:bidi="ar"/>
        </w:rPr>
        <w:t>工作简况</w:t>
      </w:r>
    </w:p>
    <w:p>
      <w:pPr>
        <w:pStyle w:val="10"/>
        <w:tabs>
          <w:tab w:val="right" w:leader="dot" w:pos="8364"/>
          <w:tab w:val="clear" w:pos="9298"/>
        </w:tabs>
        <w:spacing w:line="360" w:lineRule="auto"/>
        <w:ind w:right="42" w:rightChars="20"/>
        <w:rPr>
          <w:rFonts w:hAnsi="宋体" w:cs="宋体"/>
          <w:kern w:val="2"/>
          <w:szCs w:val="21"/>
          <w:lang w:bidi="ar"/>
        </w:rPr>
      </w:pPr>
      <w:r>
        <w:rPr>
          <w:rFonts w:hint="eastAsia" w:hAnsi="宋体" w:cs="宋体"/>
          <w:kern w:val="2"/>
          <w:szCs w:val="21"/>
          <w:lang w:bidi="ar"/>
        </w:rPr>
        <w:t>2021年1</w:t>
      </w:r>
      <w:r>
        <w:rPr>
          <w:rFonts w:hAnsi="宋体" w:cs="宋体"/>
          <w:kern w:val="2"/>
          <w:szCs w:val="21"/>
          <w:lang w:bidi="ar"/>
        </w:rPr>
        <w:t>2</w:t>
      </w:r>
      <w:r>
        <w:rPr>
          <w:rFonts w:hint="eastAsia" w:hAnsi="宋体" w:cs="宋体"/>
          <w:kern w:val="2"/>
          <w:szCs w:val="21"/>
          <w:lang w:bidi="ar"/>
        </w:rPr>
        <w:t>月科技部国家重点研发计划《沿海港口桩基码头泥沙淤积机理及其防治关键技术》立项，本课题为《桩基码头服役性能关键技术工程示范及标准编制》中子课题5.5《桩基码头后方及下方清淤施工技术标准》。2</w:t>
      </w:r>
      <w:r>
        <w:rPr>
          <w:rFonts w:hAnsi="宋体" w:cs="宋体"/>
          <w:kern w:val="2"/>
          <w:szCs w:val="21"/>
          <w:lang w:bidi="ar"/>
        </w:rPr>
        <w:t>023</w:t>
      </w:r>
      <w:r>
        <w:rPr>
          <w:rFonts w:hint="eastAsia" w:hAnsi="宋体" w:cs="宋体"/>
          <w:kern w:val="2"/>
          <w:szCs w:val="21"/>
          <w:lang w:bidi="ar"/>
        </w:rPr>
        <w:t>年4月1</w:t>
      </w:r>
      <w:r>
        <w:rPr>
          <w:rFonts w:hAnsi="宋体" w:cs="宋体"/>
          <w:kern w:val="2"/>
          <w:szCs w:val="21"/>
          <w:lang w:bidi="ar"/>
        </w:rPr>
        <w:t>9</w:t>
      </w:r>
      <w:r>
        <w:rPr>
          <w:rFonts w:hint="eastAsia" w:hAnsi="宋体" w:cs="宋体"/>
          <w:kern w:val="2"/>
          <w:szCs w:val="21"/>
          <w:lang w:bidi="ar"/>
        </w:rPr>
        <w:t>日通过中国疏浚协会团标立项。</w:t>
      </w:r>
    </w:p>
    <w:p>
      <w:pPr>
        <w:pStyle w:val="10"/>
        <w:tabs>
          <w:tab w:val="right" w:leader="dot" w:pos="8364"/>
          <w:tab w:val="clear" w:pos="9298"/>
        </w:tabs>
        <w:spacing w:line="360" w:lineRule="auto"/>
        <w:ind w:right="42" w:rightChars="20"/>
        <w:rPr>
          <w:rFonts w:hAnsi="宋体" w:cs="宋体"/>
          <w:kern w:val="2"/>
          <w:szCs w:val="21"/>
          <w:lang w:bidi="ar"/>
        </w:rPr>
      </w:pPr>
      <w:r>
        <w:rPr>
          <w:rFonts w:hint="eastAsia" w:hAnsi="宋体" w:cs="宋体"/>
          <w:kern w:val="2"/>
          <w:szCs w:val="21"/>
          <w:lang w:bidi="ar"/>
        </w:rPr>
        <w:t>本标准由宁波大榭集装箱码头有限公司提出。主编单位包括：宁波大榭集装箱码头有限公司、中交疏浚技术装备国家工程研究中心有限公司、中港疏浚有限公司、中交第一航务工程勘察设计院有限公司。</w:t>
      </w:r>
      <w:bookmarkStart w:id="1" w:name="_Hlk169537054"/>
      <w:r>
        <w:rPr>
          <w:rFonts w:hint="eastAsia" w:hAnsi="宋体" w:cs="宋体"/>
          <w:kern w:val="2"/>
          <w:szCs w:val="21"/>
          <w:lang w:bidi="ar"/>
        </w:rPr>
        <w:t>主要起草人</w:t>
      </w:r>
      <w:bookmarkEnd w:id="1"/>
      <w:r>
        <w:rPr>
          <w:rFonts w:hint="eastAsia" w:hAnsi="宋体" w:cs="宋体"/>
          <w:kern w:val="2"/>
          <w:szCs w:val="21"/>
          <w:lang w:bidi="ar"/>
        </w:rPr>
        <w:t>及承担工作见表1.</w:t>
      </w:r>
    </w:p>
    <w:p>
      <w:pPr>
        <w:pStyle w:val="10"/>
        <w:spacing w:line="360" w:lineRule="auto"/>
        <w:ind w:right="-340" w:rightChars="-162"/>
        <w:jc w:val="center"/>
        <w:rPr>
          <w:rFonts w:hAnsi="宋体" w:cs="宋体"/>
          <w:kern w:val="2"/>
          <w:szCs w:val="21"/>
          <w:lang w:bidi="ar"/>
        </w:rPr>
      </w:pPr>
      <w:r>
        <w:rPr>
          <w:rFonts w:hint="eastAsia" w:hAnsi="宋体" w:cs="宋体"/>
          <w:kern w:val="2"/>
          <w:szCs w:val="21"/>
          <w:lang w:bidi="ar"/>
        </w:rPr>
        <w:t>表1. 标准主要起草人及承担工作</w:t>
      </w:r>
    </w:p>
    <w:tbl>
      <w:tblPr>
        <w:tblStyle w:val="7"/>
        <w:tblW w:w="8380" w:type="dxa"/>
        <w:tblInd w:w="-5" w:type="dxa"/>
        <w:tblLayout w:type="autofit"/>
        <w:tblCellMar>
          <w:top w:w="0" w:type="dxa"/>
          <w:left w:w="108" w:type="dxa"/>
          <w:bottom w:w="0" w:type="dxa"/>
          <w:right w:w="108" w:type="dxa"/>
        </w:tblCellMar>
      </w:tblPr>
      <w:tblGrid>
        <w:gridCol w:w="2860"/>
        <w:gridCol w:w="3661"/>
        <w:gridCol w:w="1859"/>
      </w:tblGrid>
      <w:tr>
        <w:trPr>
          <w:trHeight w:val="529" w:hRule="atLeast"/>
        </w:trPr>
        <w:tc>
          <w:tcPr>
            <w:tcW w:w="28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3661"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参编负责单位</w:t>
            </w:r>
          </w:p>
        </w:tc>
        <w:tc>
          <w:tcPr>
            <w:tcW w:w="185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主要编写人员</w:t>
            </w: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1 范围</w:t>
            </w:r>
          </w:p>
        </w:tc>
        <w:tc>
          <w:tcPr>
            <w:tcW w:w="366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宁波大榭集装箱码头有限公司、中交国家疏浚技术装备研究中心</w:t>
            </w:r>
          </w:p>
        </w:tc>
        <w:tc>
          <w:tcPr>
            <w:tcW w:w="185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尹纪富、张一禾、洪国军、干文辉、孙奕映</w:t>
            </w: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2 规范性引用文件</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3 术语和定义</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4 施工准备</w:t>
            </w:r>
          </w:p>
        </w:tc>
        <w:tc>
          <w:tcPr>
            <w:tcW w:w="366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宁波大榭集装箱码头有限公司、中港疏浚有限公司</w:t>
            </w:r>
          </w:p>
        </w:tc>
        <w:tc>
          <w:tcPr>
            <w:tcW w:w="185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李琴、郑金龙、叶开东、杨增海、徐斌、张吕华</w:t>
            </w: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4.1 一般规定</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4.2 工前准备</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4.3 现场准备</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4.4 施工设备</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5 清淤施工</w:t>
            </w:r>
          </w:p>
        </w:tc>
        <w:tc>
          <w:tcPr>
            <w:tcW w:w="366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宁波大榭集装箱码头有限公司、中港疏浚有限公司、中交国家疏浚技术装备研究中心</w:t>
            </w:r>
          </w:p>
        </w:tc>
        <w:tc>
          <w:tcPr>
            <w:tcW w:w="185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郑金龙、李琴、武海、杨顺、徐斌、干文辉</w:t>
            </w: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5.1 一般规定</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5.2 小型绞吸挖泥船施工</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5.3 清淤平台施工</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5.4 质量管理</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5.5 进度管理</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327"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5.6 安全施工与环境保护</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82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6 数字化管理</w:t>
            </w:r>
          </w:p>
        </w:tc>
        <w:tc>
          <w:tcPr>
            <w:tcW w:w="3661" w:type="dxa"/>
            <w:tcBorders>
              <w:top w:val="nil"/>
              <w:left w:val="nil"/>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宁波大榭集装箱码头有限公司、中交国家疏浚技术装备研究中心、中港疏浚有限公司</w:t>
            </w:r>
          </w:p>
        </w:tc>
        <w:tc>
          <w:tcPr>
            <w:tcW w:w="1859" w:type="dxa"/>
            <w:tcBorders>
              <w:top w:val="nil"/>
              <w:left w:val="nil"/>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尹纪富、李琴、杨顺、郑金龙、蒋海江</w:t>
            </w:r>
          </w:p>
        </w:tc>
      </w:tr>
      <w:tr>
        <w:trPr>
          <w:trHeight w:val="549"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7 交工验收</w:t>
            </w:r>
          </w:p>
        </w:tc>
        <w:tc>
          <w:tcPr>
            <w:tcW w:w="366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宁波大榭集装箱码头有限公司、中交第一航务工程勘察设计院有限公司、中港疏浚有限公司</w:t>
            </w:r>
          </w:p>
        </w:tc>
        <w:tc>
          <w:tcPr>
            <w:tcW w:w="185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郑金龙、徐斌、马瑞、蒋涛鸣、蒋海江、武海</w:t>
            </w: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7.1 交工测量</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7.2 清淤工程量计算</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283" w:hRule="atLeast"/>
        </w:trPr>
        <w:tc>
          <w:tcPr>
            <w:tcW w:w="2860"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7.3 验收及归档</w:t>
            </w:r>
          </w:p>
        </w:tc>
        <w:tc>
          <w:tcPr>
            <w:tcW w:w="366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823" w:hRule="atLeast"/>
        </w:trPr>
        <w:tc>
          <w:tcPr>
            <w:tcW w:w="28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附录A  施工组织设计</w:t>
            </w:r>
          </w:p>
        </w:tc>
        <w:tc>
          <w:tcPr>
            <w:tcW w:w="3661" w:type="dxa"/>
            <w:vMerge w:val="restart"/>
            <w:tcBorders>
              <w:top w:val="single" w:color="auto" w:sz="4" w:space="0"/>
              <w:left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宁波大榭集装箱码头有限公司、中交第一航务工程勘察设计院有限公司</w:t>
            </w:r>
          </w:p>
        </w:tc>
        <w:tc>
          <w:tcPr>
            <w:tcW w:w="18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徐斌、李琴、马瑞、郑金龙、王立军</w:t>
            </w:r>
          </w:p>
        </w:tc>
      </w:tr>
      <w:tr>
        <w:trPr>
          <w:trHeight w:val="823" w:hRule="atLeast"/>
        </w:trPr>
        <w:tc>
          <w:tcPr>
            <w:tcW w:w="28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附录B  沉降位移观测要求</w:t>
            </w:r>
          </w:p>
        </w:tc>
        <w:tc>
          <w:tcPr>
            <w:tcW w:w="3661" w:type="dxa"/>
            <w:vMerge w:val="continue"/>
            <w:tcBorders>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eastAsia="宋体" w:cs="宋体"/>
                <w:color w:val="000000"/>
                <w:kern w:val="0"/>
                <w:szCs w:val="21"/>
              </w:rPr>
            </w:pPr>
          </w:p>
        </w:tc>
      </w:tr>
      <w:tr>
        <w:trPr>
          <w:trHeight w:val="566" w:hRule="atLeast"/>
        </w:trPr>
        <w:tc>
          <w:tcPr>
            <w:tcW w:w="2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附录C  清淤工程档案资料归档内容</w:t>
            </w:r>
          </w:p>
        </w:tc>
        <w:tc>
          <w:tcPr>
            <w:tcW w:w="3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宁波大榭集装箱码头有限公司、中港疏浚有限公司</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李琴、高燕、杨顺</w:t>
            </w:r>
          </w:p>
        </w:tc>
      </w:tr>
    </w:tbl>
    <w:p>
      <w:pPr>
        <w:pStyle w:val="3"/>
        <w:ind w:right="-340" w:rightChars="-162"/>
      </w:pPr>
    </w:p>
    <w:p>
      <w:pPr>
        <w:numPr>
          <w:ilvl w:val="0"/>
          <w:numId w:val="1"/>
        </w:numPr>
        <w:spacing w:line="360" w:lineRule="auto"/>
        <w:ind w:right="-340" w:rightChars="-162" w:firstLine="480"/>
        <w:rPr>
          <w:rFonts w:ascii="宋体" w:hAnsi="宋体" w:eastAsia="宋体" w:cs="宋体"/>
          <w:b/>
          <w:bCs/>
          <w:sz w:val="24"/>
          <w:lang w:bidi="ar"/>
        </w:rPr>
      </w:pPr>
      <w:r>
        <w:rPr>
          <w:rFonts w:hint="eastAsia" w:ascii="宋体" w:hAnsi="宋体" w:eastAsia="宋体" w:cs="宋体"/>
          <w:b/>
          <w:bCs/>
          <w:sz w:val="24"/>
          <w:lang w:bidi="ar"/>
        </w:rPr>
        <w:t>主要技术内容论据</w:t>
      </w:r>
    </w:p>
    <w:p>
      <w:pPr>
        <w:tabs>
          <w:tab w:val="left" w:pos="180"/>
          <w:tab w:val="left" w:pos="360"/>
        </w:tabs>
        <w:spacing w:line="360" w:lineRule="auto"/>
        <w:ind w:firstLine="420" w:firstLineChars="200"/>
        <w:rPr>
          <w:rFonts w:ascii="宋体" w:hAnsi="宋体" w:eastAsia="宋体" w:cs="宋体"/>
          <w:szCs w:val="21"/>
          <w:lang w:bidi="ar"/>
        </w:rPr>
      </w:pPr>
      <w:r>
        <w:rPr>
          <w:rFonts w:hint="eastAsia" w:ascii="宋体" w:hAnsi="宋体" w:eastAsia="宋体" w:cs="宋体"/>
          <w:szCs w:val="21"/>
          <w:lang w:bidi="ar"/>
        </w:rPr>
        <w:t>（一）、本标准规范性引用文件包括：</w:t>
      </w:r>
    </w:p>
    <w:p>
      <w:pPr>
        <w:pStyle w:val="10"/>
        <w:tabs>
          <w:tab w:val="left" w:pos="9355"/>
        </w:tabs>
        <w:ind w:left="420" w:firstLine="0" w:firstLineChars="0"/>
        <w:rPr>
          <w:rFonts w:hAnsi="宋体" w:cs="宋体"/>
          <w:color w:val="FF0000"/>
          <w:kern w:val="2"/>
          <w:szCs w:val="21"/>
          <w:lang w:bidi="ar"/>
        </w:rPr>
      </w:pPr>
      <w:r>
        <w:rPr>
          <w:rFonts w:hint="eastAsia" w:hAnsi="宋体" w:cs="宋体"/>
          <w:color w:val="FF0000"/>
          <w:kern w:val="2"/>
          <w:szCs w:val="21"/>
          <w:lang w:bidi="ar"/>
        </w:rPr>
        <w:t xml:space="preserve">JTS 125-1 </w:t>
      </w:r>
      <w:r>
        <w:rPr>
          <w:rFonts w:hAnsi="宋体" w:cs="宋体"/>
          <w:color w:val="FF0000"/>
          <w:kern w:val="2"/>
          <w:szCs w:val="21"/>
          <w:lang w:bidi="ar"/>
        </w:rPr>
        <w:t xml:space="preserve"> </w:t>
      </w:r>
      <w:r>
        <w:rPr>
          <w:rFonts w:hint="eastAsia" w:hAnsi="宋体" w:cs="宋体"/>
          <w:color w:val="FF0000"/>
          <w:kern w:val="2"/>
          <w:szCs w:val="21"/>
          <w:lang w:bidi="ar"/>
        </w:rPr>
        <w:t>港口工程竣工验收规程</w:t>
      </w:r>
    </w:p>
    <w:p>
      <w:pPr>
        <w:pStyle w:val="10"/>
        <w:tabs>
          <w:tab w:val="left" w:pos="9355"/>
        </w:tabs>
        <w:ind w:left="420" w:firstLine="0" w:firstLineChars="0"/>
        <w:rPr>
          <w:rFonts w:hAnsi="宋体" w:cs="宋体"/>
          <w:color w:val="FF0000"/>
          <w:kern w:val="2"/>
          <w:szCs w:val="21"/>
          <w:lang w:bidi="ar"/>
        </w:rPr>
      </w:pPr>
      <w:r>
        <w:rPr>
          <w:rFonts w:hint="eastAsia" w:hAnsi="宋体" w:cs="宋体"/>
          <w:color w:val="FF0000"/>
          <w:kern w:val="2"/>
          <w:szCs w:val="21"/>
          <w:lang w:bidi="ar"/>
        </w:rPr>
        <w:t>JTS 1</w:t>
      </w:r>
      <w:r>
        <w:rPr>
          <w:rFonts w:hAnsi="宋体" w:cs="宋体"/>
          <w:color w:val="FF0000"/>
          <w:kern w:val="2"/>
          <w:szCs w:val="21"/>
          <w:lang w:bidi="ar"/>
        </w:rPr>
        <w:t>31</w:t>
      </w:r>
      <w:r>
        <w:rPr>
          <w:rFonts w:hint="eastAsia" w:hAnsi="宋体" w:cs="宋体"/>
          <w:color w:val="FF0000"/>
          <w:kern w:val="2"/>
          <w:szCs w:val="21"/>
          <w:lang w:bidi="ar"/>
        </w:rPr>
        <w:t xml:space="preserve"> </w:t>
      </w:r>
      <w:r>
        <w:rPr>
          <w:rFonts w:hAnsi="宋体" w:cs="宋体"/>
          <w:color w:val="FF0000"/>
          <w:kern w:val="2"/>
          <w:szCs w:val="21"/>
          <w:lang w:bidi="ar"/>
        </w:rPr>
        <w:t xml:space="preserve">   </w:t>
      </w:r>
      <w:r>
        <w:rPr>
          <w:rFonts w:hint="eastAsia" w:hAnsi="宋体" w:cs="宋体"/>
          <w:color w:val="FF0000"/>
          <w:kern w:val="2"/>
          <w:szCs w:val="21"/>
          <w:lang w:bidi="ar"/>
        </w:rPr>
        <w:t>水运工程测量规范</w:t>
      </w:r>
    </w:p>
    <w:p>
      <w:pPr>
        <w:pStyle w:val="10"/>
        <w:tabs>
          <w:tab w:val="left" w:pos="9355"/>
        </w:tabs>
        <w:ind w:left="420" w:firstLine="0" w:firstLineChars="0"/>
        <w:rPr>
          <w:rFonts w:hAnsi="宋体" w:cs="宋体"/>
          <w:color w:val="FF0000"/>
          <w:kern w:val="2"/>
          <w:szCs w:val="21"/>
          <w:lang w:bidi="ar"/>
        </w:rPr>
      </w:pPr>
      <w:r>
        <w:rPr>
          <w:rFonts w:hint="eastAsia" w:hAnsi="宋体" w:cs="宋体"/>
          <w:color w:val="FF0000"/>
          <w:kern w:val="2"/>
          <w:szCs w:val="21"/>
          <w:lang w:bidi="ar"/>
        </w:rPr>
        <w:t>JTS 181-5  疏浚与吹填工程设计规范</w:t>
      </w:r>
    </w:p>
    <w:p>
      <w:pPr>
        <w:pStyle w:val="10"/>
        <w:tabs>
          <w:tab w:val="left" w:pos="9355"/>
        </w:tabs>
        <w:ind w:left="420" w:firstLine="0" w:firstLineChars="0"/>
        <w:rPr>
          <w:rFonts w:hAnsi="宋体" w:cs="宋体"/>
          <w:color w:val="FF0000"/>
          <w:kern w:val="2"/>
          <w:szCs w:val="21"/>
          <w:lang w:bidi="ar"/>
        </w:rPr>
      </w:pPr>
      <w:r>
        <w:rPr>
          <w:rFonts w:hint="eastAsia" w:hAnsi="宋体" w:cs="宋体"/>
          <w:color w:val="FF0000"/>
          <w:kern w:val="2"/>
          <w:szCs w:val="21"/>
          <w:lang w:bidi="ar"/>
        </w:rPr>
        <w:t>JTS 205-1  水运工程施工安全防护技术规范</w:t>
      </w:r>
    </w:p>
    <w:p>
      <w:pPr>
        <w:pStyle w:val="10"/>
        <w:tabs>
          <w:tab w:val="left" w:pos="9355"/>
        </w:tabs>
        <w:ind w:left="420" w:firstLine="0" w:firstLineChars="0"/>
        <w:rPr>
          <w:rFonts w:hint="eastAsia" w:hAnsi="宋体" w:cs="宋体"/>
          <w:color w:val="FF0000"/>
          <w:kern w:val="2"/>
          <w:szCs w:val="21"/>
          <w:lang w:bidi="ar"/>
        </w:rPr>
      </w:pPr>
      <w:r>
        <w:rPr>
          <w:rFonts w:hint="eastAsia" w:hAnsi="宋体" w:cs="宋体"/>
          <w:color w:val="FF0000"/>
          <w:kern w:val="2"/>
          <w:szCs w:val="21"/>
          <w:lang w:bidi="ar"/>
        </w:rPr>
        <w:t xml:space="preserve">JTS 207  </w:t>
      </w:r>
      <w:r>
        <w:rPr>
          <w:rFonts w:hAnsi="宋体" w:cs="宋体"/>
          <w:color w:val="FF0000"/>
          <w:kern w:val="2"/>
          <w:szCs w:val="21"/>
          <w:lang w:bidi="ar"/>
        </w:rPr>
        <w:t xml:space="preserve">  </w:t>
      </w:r>
      <w:r>
        <w:rPr>
          <w:rFonts w:hint="eastAsia" w:hAnsi="宋体" w:cs="宋体"/>
          <w:color w:val="FF0000"/>
          <w:kern w:val="2"/>
          <w:szCs w:val="21"/>
          <w:lang w:bidi="ar"/>
        </w:rPr>
        <w:t>疏浚与吹填工程施工规范</w:t>
      </w:r>
    </w:p>
    <w:p>
      <w:pPr>
        <w:pStyle w:val="10"/>
        <w:tabs>
          <w:tab w:val="left" w:pos="9355"/>
        </w:tabs>
        <w:ind w:left="420" w:firstLine="0" w:firstLineChars="0"/>
        <w:rPr>
          <w:rFonts w:hAnsi="宋体" w:cs="宋体"/>
          <w:color w:val="FF0000"/>
          <w:kern w:val="2"/>
          <w:szCs w:val="21"/>
          <w:lang w:bidi="ar"/>
        </w:rPr>
      </w:pPr>
      <w:r>
        <w:rPr>
          <w:rFonts w:hint="eastAsia" w:hAnsi="宋体" w:cs="宋体"/>
          <w:color w:val="FF0000"/>
          <w:kern w:val="2"/>
          <w:szCs w:val="21"/>
          <w:lang w:bidi="ar"/>
        </w:rPr>
        <w:t xml:space="preserve">JTS </w:t>
      </w:r>
      <w:r>
        <w:rPr>
          <w:rFonts w:hAnsi="宋体" w:cs="宋体"/>
          <w:color w:val="FF0000"/>
          <w:kern w:val="2"/>
          <w:szCs w:val="21"/>
          <w:lang w:bidi="ar"/>
        </w:rPr>
        <w:t>257</w:t>
      </w:r>
      <w:r>
        <w:rPr>
          <w:rFonts w:hint="eastAsia" w:hAnsi="宋体" w:cs="宋体"/>
          <w:color w:val="FF0000"/>
          <w:kern w:val="2"/>
          <w:szCs w:val="21"/>
          <w:lang w:bidi="ar"/>
        </w:rPr>
        <w:t xml:space="preserve"> </w:t>
      </w:r>
      <w:r>
        <w:rPr>
          <w:rFonts w:hAnsi="宋体" w:cs="宋体"/>
          <w:color w:val="FF0000"/>
          <w:kern w:val="2"/>
          <w:szCs w:val="21"/>
          <w:lang w:bidi="ar"/>
        </w:rPr>
        <w:t xml:space="preserve">   </w:t>
      </w:r>
      <w:r>
        <w:rPr>
          <w:rFonts w:hint="eastAsia" w:hAnsi="宋体" w:cs="宋体"/>
          <w:color w:val="FF0000"/>
          <w:kern w:val="2"/>
          <w:szCs w:val="21"/>
          <w:lang w:bidi="ar"/>
        </w:rPr>
        <w:t>水运工程质量检验标准</w:t>
      </w:r>
    </w:p>
    <w:p>
      <w:pPr>
        <w:tabs>
          <w:tab w:val="left" w:pos="180"/>
          <w:tab w:val="left" w:pos="360"/>
        </w:tabs>
        <w:spacing w:line="360" w:lineRule="auto"/>
        <w:ind w:firstLine="420" w:firstLineChars="200"/>
        <w:rPr>
          <w:rFonts w:ascii="宋体" w:hAnsi="宋体" w:eastAsia="宋体" w:cs="宋体"/>
          <w:szCs w:val="21"/>
          <w:lang w:bidi="ar"/>
        </w:rPr>
      </w:pPr>
      <w:r>
        <w:rPr>
          <w:rFonts w:hint="eastAsia" w:ascii="宋体" w:hAnsi="宋体" w:eastAsia="宋体" w:cs="宋体"/>
          <w:szCs w:val="21"/>
          <w:lang w:bidi="ar"/>
        </w:rPr>
        <w:t>（二）、本标准主要调研内容情况包括：</w:t>
      </w:r>
    </w:p>
    <w:p>
      <w:pPr>
        <w:spacing w:line="360" w:lineRule="auto"/>
        <w:ind w:right="42" w:rightChars="20" w:firstLine="420" w:firstLineChars="200"/>
        <w:rPr>
          <w:rFonts w:ascii="宋体" w:hAnsi="宋体" w:eastAsia="宋体" w:cs="宋体"/>
          <w:szCs w:val="21"/>
          <w:lang w:bidi="ar"/>
        </w:rPr>
      </w:pPr>
      <w:r>
        <w:rPr>
          <w:rFonts w:hint="eastAsia" w:ascii="宋体" w:hAnsi="宋体" w:eastAsia="宋体" w:cs="宋体"/>
          <w:szCs w:val="21"/>
          <w:lang w:bidi="ar"/>
        </w:rPr>
        <w:t>结合自身2016年开始的码头下后方清淤施工经验积累，以及近几年各类栈桥式高桩码头相关后方、下方清淤工程项目的调研了解，和施工单位、设计单位等项目研发合作单位一起，为清淤装备的设计优化及清淤施工的工艺提升、施工效率提升，进行了多次沟通交流探索。</w:t>
      </w:r>
    </w:p>
    <w:p>
      <w:pPr>
        <w:spacing w:line="360" w:lineRule="auto"/>
        <w:ind w:right="42" w:rightChars="20" w:firstLine="420" w:firstLineChars="200"/>
        <w:rPr>
          <w:rFonts w:ascii="宋体" w:hAnsi="宋体" w:eastAsia="宋体" w:cs="宋体"/>
          <w:szCs w:val="21"/>
          <w:lang w:bidi="ar"/>
        </w:rPr>
      </w:pPr>
      <w:r>
        <w:rPr>
          <w:rFonts w:hint="eastAsia" w:ascii="宋体" w:hAnsi="宋体" w:eastAsia="宋体" w:cs="宋体"/>
          <w:szCs w:val="21"/>
          <w:lang w:bidi="ar"/>
        </w:rPr>
        <w:t>采取视频会议交流、实地走访、电话探讨等方式开展标准编制调研工作，调研单位包括中交第三航务设计院、中交第四航务设计院、中交水运规划设计院、连云港码头、江苏洋井化工码头有限公司、深圳妈湾港、宁波梅东集装箱码头有限公司、疏浚技术装备国家工程研究中心、浙江海建港航工程有限公司、上海外高桥二期码头公司等单位。</w:t>
      </w:r>
    </w:p>
    <w:p>
      <w:pPr>
        <w:spacing w:line="360" w:lineRule="auto"/>
        <w:ind w:right="42" w:rightChars="20" w:firstLine="420" w:firstLineChars="200"/>
        <w:rPr>
          <w:rFonts w:ascii="宋体" w:hAnsi="宋体" w:eastAsia="宋体" w:cs="宋体"/>
          <w:szCs w:val="21"/>
          <w:lang w:bidi="ar"/>
        </w:rPr>
      </w:pPr>
      <w:r>
        <w:rPr>
          <w:rFonts w:hint="eastAsia" w:ascii="宋体" w:hAnsi="宋体" w:eastAsia="宋体" w:cs="宋体"/>
          <w:szCs w:val="21"/>
          <w:lang w:bidi="ar"/>
        </w:rPr>
        <w:t>调研内容包括：桩基码头下方及后方淤积情况，淤积造成码头损坏及变位情况，清淤周期及备淤厚度的确定，施工前码头下方勘察方式，码头下方清淤作业采用设备及其智能化情况，桩基码头结构设计及清淤设计时淤积土影响的考虑方式及土体指标的选取，清淤超深及超宽的确定，清淤工程量计算方法（网格、断面、BIM等），清淤时桩周采取的处理措施，施工期采取的监测措施，施工时采取的桩基保护措施，施工时采取的环境保护措施，土方处理方式（外抛、吹填或其他）等。</w:t>
      </w:r>
    </w:p>
    <w:p>
      <w:pPr>
        <w:spacing w:line="360" w:lineRule="auto"/>
        <w:ind w:right="-340" w:rightChars="-162" w:firstLine="480"/>
        <w:rPr>
          <w:rFonts w:ascii="宋体" w:hAnsi="宋体" w:eastAsia="宋体" w:cs="宋体"/>
          <w:sz w:val="24"/>
          <w:lang w:bidi="ar"/>
        </w:rPr>
      </w:pPr>
      <w:r>
        <w:rPr>
          <w:rFonts w:hint="eastAsia" w:ascii="宋体" w:hAnsi="宋体" w:eastAsia="宋体" w:cs="宋体"/>
          <w:b/>
          <w:bCs/>
          <w:sz w:val="24"/>
          <w:lang w:bidi="ar"/>
        </w:rPr>
        <w:t>三、主要试验分析及预期的经济效果</w:t>
      </w:r>
    </w:p>
    <w:p>
      <w:pPr>
        <w:spacing w:line="360" w:lineRule="auto"/>
        <w:ind w:right="42" w:rightChars="20" w:firstLine="420"/>
        <w:rPr>
          <w:rFonts w:ascii="宋体" w:hAnsi="宋体" w:eastAsia="宋体" w:cs="宋体"/>
          <w:szCs w:val="21"/>
          <w:lang w:bidi="ar"/>
        </w:rPr>
      </w:pPr>
      <w:r>
        <w:rPr>
          <w:rFonts w:hint="eastAsia" w:ascii="宋体" w:hAnsi="宋体" w:eastAsia="宋体" w:cs="宋体"/>
          <w:szCs w:val="21"/>
          <w:lang w:bidi="ar"/>
        </w:rPr>
        <w:t>基于桩基码头后方及下方清淤施工技术的研发，形成</w:t>
      </w:r>
      <w:bookmarkStart w:id="2" w:name="_Hlk90500682"/>
      <w:r>
        <w:rPr>
          <w:rFonts w:hint="eastAsia" w:ascii="宋体" w:hAnsi="宋体" w:eastAsia="宋体" w:cs="宋体"/>
          <w:szCs w:val="21"/>
          <w:lang w:bidi="ar"/>
        </w:rPr>
        <w:t>桩基码头后方及下方清淤施工技术标准</w:t>
      </w:r>
      <w:bookmarkEnd w:id="2"/>
      <w:r>
        <w:rPr>
          <w:rFonts w:hint="eastAsia" w:ascii="宋体" w:hAnsi="宋体" w:eastAsia="宋体" w:cs="宋体"/>
          <w:szCs w:val="21"/>
          <w:lang w:bidi="ar"/>
        </w:rPr>
        <w:t>，解决了桩基码头后方及下方清淤养护标准缺乏和技术落后问题，填补了此方面技术标准的空白，为科学地指导桩基码头后方及下方清淤养护作业提供技术支撑。通过桩基码头后方及下方清淤施工技术标准的编制，可为桩基码头后方及下方清淤作业提供科学、高效、安全的清淤方案，降低清淤成本，提高清淤效率。</w:t>
      </w:r>
    </w:p>
    <w:p>
      <w:pPr>
        <w:pStyle w:val="3"/>
        <w:spacing w:line="360" w:lineRule="auto"/>
        <w:ind w:right="42" w:rightChars="20" w:firstLine="420"/>
        <w:rPr>
          <w:rFonts w:hAnsi="宋体" w:cs="宋体"/>
          <w:b/>
          <w:bCs/>
          <w:sz w:val="24"/>
          <w:lang w:bidi="ar"/>
        </w:rPr>
      </w:pPr>
      <w:r>
        <w:rPr>
          <w:rFonts w:hint="eastAsia" w:hAnsi="宋体" w:cs="宋体"/>
          <w:b/>
          <w:bCs/>
          <w:sz w:val="24"/>
          <w:lang w:bidi="ar"/>
        </w:rPr>
        <w:t>四、与国内外同类标准水平的对比分析</w:t>
      </w:r>
    </w:p>
    <w:p>
      <w:pPr>
        <w:spacing w:line="360" w:lineRule="auto"/>
        <w:ind w:right="42" w:rightChars="20" w:firstLine="420"/>
        <w:rPr>
          <w:rFonts w:ascii="宋体" w:hAnsi="宋体" w:eastAsia="宋体" w:cs="宋体"/>
          <w:szCs w:val="21"/>
          <w:lang w:bidi="ar"/>
        </w:rPr>
      </w:pPr>
      <w:r>
        <w:rPr>
          <w:rFonts w:hint="eastAsia" w:ascii="宋体" w:hAnsi="宋体" w:eastAsia="宋体" w:cs="宋体"/>
          <w:szCs w:val="21"/>
          <w:lang w:bidi="ar"/>
        </w:rPr>
        <w:t>目前国内外都有相关技术标准指导清淤作业，但缺少针对桩基码头后方及下方狭小水域的清淤施工技术标准。成果填补了国内专门针对桩基码头后方及下方清淤的技术标准空白，推动行业技术进步。</w:t>
      </w:r>
    </w:p>
    <w:p>
      <w:pPr>
        <w:spacing w:line="360" w:lineRule="auto"/>
        <w:ind w:right="42" w:rightChars="20" w:firstLine="480"/>
        <w:rPr>
          <w:rFonts w:ascii="宋体" w:hAnsi="宋体" w:eastAsia="宋体" w:cs="宋体"/>
          <w:b/>
          <w:bCs/>
          <w:sz w:val="24"/>
          <w:lang w:bidi="ar"/>
        </w:rPr>
      </w:pPr>
      <w:r>
        <w:rPr>
          <w:rFonts w:hint="eastAsia" w:ascii="宋体" w:hAnsi="宋体" w:eastAsia="宋体" w:cs="宋体"/>
          <w:b/>
          <w:bCs/>
          <w:sz w:val="24"/>
          <w:lang w:bidi="ar"/>
        </w:rPr>
        <w:t>五、与有关的现行法律、法规和强制性标准的关系</w:t>
      </w:r>
    </w:p>
    <w:p>
      <w:pPr>
        <w:tabs>
          <w:tab w:val="left" w:pos="180"/>
          <w:tab w:val="left" w:pos="360"/>
        </w:tabs>
        <w:spacing w:line="360" w:lineRule="auto"/>
        <w:ind w:right="42" w:rightChars="20" w:firstLine="420" w:firstLineChars="200"/>
        <w:rPr>
          <w:szCs w:val="21"/>
        </w:rPr>
      </w:pPr>
      <w:r>
        <w:rPr>
          <w:rFonts w:hint="eastAsia" w:ascii="宋体" w:hAnsi="宋体" w:eastAsia="宋体" w:cs="宋体"/>
          <w:szCs w:val="21"/>
          <w:lang w:bidi="ar"/>
        </w:rPr>
        <w:t>本标准为疏浚协会团体标准系首次编写，本标准主要规定了桩基码头后方及下方清淤施工技术标准，在实施本标准中如果涉及到安全、健康、环境保护等方面技术要求应遵守国家有关法律、法规相关规定。</w:t>
      </w:r>
    </w:p>
    <w:p>
      <w:pPr>
        <w:spacing w:line="360" w:lineRule="auto"/>
        <w:ind w:right="42" w:rightChars="20" w:firstLine="480"/>
        <w:rPr>
          <w:rFonts w:ascii="宋体" w:hAnsi="宋体" w:eastAsia="宋体" w:cs="宋体"/>
          <w:b/>
          <w:bCs/>
          <w:sz w:val="24"/>
          <w:lang w:bidi="ar"/>
        </w:rPr>
      </w:pPr>
      <w:r>
        <w:rPr>
          <w:rFonts w:hint="eastAsia" w:ascii="宋体" w:hAnsi="宋体" w:eastAsia="宋体" w:cs="宋体"/>
          <w:b/>
          <w:bCs/>
          <w:sz w:val="24"/>
          <w:lang w:bidi="ar"/>
        </w:rPr>
        <w:t>六、预期达到的社会效益及对产业发展的作用</w:t>
      </w:r>
    </w:p>
    <w:p>
      <w:pPr>
        <w:spacing w:line="360" w:lineRule="auto"/>
        <w:ind w:right="42" w:rightChars="20" w:firstLine="420"/>
        <w:rPr>
          <w:rFonts w:ascii="宋体" w:hAnsi="宋体" w:eastAsia="宋体" w:cs="宋体"/>
          <w:szCs w:val="21"/>
          <w:lang w:bidi="ar"/>
        </w:rPr>
      </w:pPr>
      <w:r>
        <w:rPr>
          <w:rFonts w:hint="eastAsia" w:ascii="宋体" w:hAnsi="宋体" w:eastAsia="宋体" w:cs="宋体"/>
          <w:szCs w:val="21"/>
          <w:lang w:bidi="ar"/>
        </w:rPr>
        <w:t>通过桩基码头后方及下方清淤施工技术标准的编制，可为桩基码头后方及下方清淤作业提供科学、高效、安全的清淤方案，降低清淤成本，提高清淤效率。成果填补了国内专门针对桩基码头后方及下方清淤的技术标准空白，推动行业技术进步。</w:t>
      </w:r>
    </w:p>
    <w:p>
      <w:pPr>
        <w:spacing w:line="360" w:lineRule="auto"/>
        <w:ind w:right="42" w:rightChars="20" w:firstLine="480"/>
        <w:rPr>
          <w:rFonts w:ascii="宋体" w:hAnsi="宋体" w:eastAsia="宋体" w:cs="宋体"/>
          <w:b/>
          <w:bCs/>
          <w:sz w:val="24"/>
        </w:rPr>
      </w:pPr>
      <w:r>
        <w:rPr>
          <w:rFonts w:hint="eastAsia" w:ascii="宋体" w:hAnsi="宋体" w:eastAsia="宋体" w:cs="宋体"/>
          <w:b/>
          <w:bCs/>
          <w:sz w:val="24"/>
          <w:lang w:bidi="ar"/>
        </w:rPr>
        <w:t>七、贯彻疏浚协会团体标准的要求和措施建议</w:t>
      </w:r>
    </w:p>
    <w:p>
      <w:pPr>
        <w:numPr>
          <w:ilvl w:val="0"/>
          <w:numId w:val="2"/>
        </w:numPr>
        <w:spacing w:line="360" w:lineRule="auto"/>
        <w:ind w:right="42" w:rightChars="20" w:firstLine="420" w:firstLineChars="200"/>
        <w:jc w:val="left"/>
        <w:rPr>
          <w:rFonts w:ascii="宋体" w:hAnsi="宋体" w:eastAsia="宋体" w:cs="宋体"/>
          <w:szCs w:val="21"/>
          <w:lang w:bidi="ar"/>
        </w:rPr>
      </w:pPr>
      <w:r>
        <w:rPr>
          <w:rFonts w:hint="eastAsia" w:ascii="宋体" w:hAnsi="宋体" w:eastAsia="宋体" w:cs="宋体"/>
          <w:szCs w:val="21"/>
          <w:lang w:bidi="ar"/>
        </w:rPr>
        <w:t>明确标准发行范围。</w:t>
      </w:r>
    </w:p>
    <w:p>
      <w:pPr>
        <w:numPr>
          <w:ilvl w:val="0"/>
          <w:numId w:val="2"/>
        </w:numPr>
        <w:spacing w:line="360" w:lineRule="auto"/>
        <w:ind w:right="42" w:rightChars="20" w:firstLine="420" w:firstLineChars="200"/>
        <w:jc w:val="left"/>
        <w:rPr>
          <w:rFonts w:ascii="宋体" w:hAnsi="宋体" w:eastAsia="宋体" w:cs="宋体"/>
          <w:szCs w:val="21"/>
          <w:lang w:bidi="ar"/>
        </w:rPr>
      </w:pPr>
      <w:r>
        <w:rPr>
          <w:rFonts w:hint="eastAsia" w:ascii="宋体" w:hAnsi="宋体" w:eastAsia="宋体" w:cs="宋体"/>
          <w:szCs w:val="21"/>
          <w:lang w:bidi="ar"/>
        </w:rPr>
        <w:t>在行业范围内进行标准培训工作，进行标准的应用推广。</w:t>
      </w:r>
    </w:p>
    <w:p>
      <w:pPr>
        <w:numPr>
          <w:ilvl w:val="0"/>
          <w:numId w:val="2"/>
        </w:numPr>
        <w:spacing w:line="360" w:lineRule="auto"/>
        <w:ind w:right="42" w:rightChars="20" w:firstLine="420" w:firstLineChars="200"/>
        <w:jc w:val="left"/>
      </w:pPr>
      <w:r>
        <w:rPr>
          <w:rFonts w:hint="eastAsia" w:ascii="宋体" w:hAnsi="宋体" w:eastAsia="宋体" w:cs="宋体"/>
          <w:szCs w:val="21"/>
          <w:lang w:bidi="ar"/>
        </w:rPr>
        <w:t>标准发行后，定期进行标准贯彻效果检查和评估。</w:t>
      </w:r>
    </w:p>
    <w:sectPr>
      <w:footerReference r:id="rId3" w:type="default"/>
      <w:pgSz w:w="11906" w:h="16838"/>
      <w:pgMar w:top="1440" w:right="17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ourier New">
    <w:panose1 w:val="02070409020205090404"/>
    <w:charset w:val="00"/>
    <w:family w:val="modern"/>
    <w:pitch w:val="default"/>
    <w:sig w:usb0="E0000AFF" w:usb1="4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7CE07"/>
    <w:multiLevelType w:val="singleLevel"/>
    <w:tmpl w:val="D2A7CE07"/>
    <w:lvl w:ilvl="0" w:tentative="0">
      <w:start w:val="1"/>
      <w:numFmt w:val="decimal"/>
      <w:suff w:val="nothing"/>
      <w:lvlText w:val="%1．"/>
      <w:lvlJc w:val="left"/>
      <w:pPr>
        <w:ind w:left="0" w:firstLine="400"/>
      </w:pPr>
      <w:rPr>
        <w:rFonts w:hint="default"/>
      </w:rPr>
    </w:lvl>
  </w:abstractNum>
  <w:abstractNum w:abstractNumId="1">
    <w:nsid w:val="124C528A"/>
    <w:multiLevelType w:val="singleLevel"/>
    <w:tmpl w:val="124C528A"/>
    <w:lvl w:ilvl="0" w:tentative="0">
      <w:start w:val="1"/>
      <w:numFmt w:val="chineseCounting"/>
      <w:suff w:val="nothing"/>
      <w:lvlText w:val="%1、"/>
      <w:lvlJc w:val="left"/>
      <w:rPr>
        <w:rFonts w:hint="eastAsia"/>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VkNmM1Mzc2OTQ2OGJjMTY5ODM4ODE2ZGQwNzkwOTUifQ=="/>
  </w:docVars>
  <w:rsids>
    <w:rsidRoot w:val="00A65246"/>
    <w:rsid w:val="000049E1"/>
    <w:rsid w:val="00251582"/>
    <w:rsid w:val="002552E2"/>
    <w:rsid w:val="00256162"/>
    <w:rsid w:val="002712E5"/>
    <w:rsid w:val="002A251C"/>
    <w:rsid w:val="00372AF8"/>
    <w:rsid w:val="003E68AF"/>
    <w:rsid w:val="004637E3"/>
    <w:rsid w:val="004B2EE5"/>
    <w:rsid w:val="004C22F4"/>
    <w:rsid w:val="004F281A"/>
    <w:rsid w:val="0050468E"/>
    <w:rsid w:val="006C51E2"/>
    <w:rsid w:val="00757FF8"/>
    <w:rsid w:val="0083405C"/>
    <w:rsid w:val="008A192C"/>
    <w:rsid w:val="00917DFD"/>
    <w:rsid w:val="009243A1"/>
    <w:rsid w:val="009B6717"/>
    <w:rsid w:val="00A65246"/>
    <w:rsid w:val="00AB0633"/>
    <w:rsid w:val="00AB3AB0"/>
    <w:rsid w:val="00AF61C5"/>
    <w:rsid w:val="00B1375C"/>
    <w:rsid w:val="00C93CFD"/>
    <w:rsid w:val="00D44F64"/>
    <w:rsid w:val="00D9015E"/>
    <w:rsid w:val="00DE3A50"/>
    <w:rsid w:val="00E5579B"/>
    <w:rsid w:val="00F05921"/>
    <w:rsid w:val="00F20DF5"/>
    <w:rsid w:val="021533E7"/>
    <w:rsid w:val="065773EA"/>
    <w:rsid w:val="0D0227BA"/>
    <w:rsid w:val="0E7863C0"/>
    <w:rsid w:val="0F0C5B71"/>
    <w:rsid w:val="11B12A00"/>
    <w:rsid w:val="195A572B"/>
    <w:rsid w:val="1EE6183C"/>
    <w:rsid w:val="1F2B3DF2"/>
    <w:rsid w:val="22721D38"/>
    <w:rsid w:val="2298179E"/>
    <w:rsid w:val="26551754"/>
    <w:rsid w:val="26791A39"/>
    <w:rsid w:val="268F2EB8"/>
    <w:rsid w:val="289742A6"/>
    <w:rsid w:val="2EE93382"/>
    <w:rsid w:val="30EB518F"/>
    <w:rsid w:val="31556AAC"/>
    <w:rsid w:val="35577297"/>
    <w:rsid w:val="35E46651"/>
    <w:rsid w:val="3D9F7A2D"/>
    <w:rsid w:val="3EAD4A34"/>
    <w:rsid w:val="46AB11F1"/>
    <w:rsid w:val="473016F6"/>
    <w:rsid w:val="490746D8"/>
    <w:rsid w:val="4A1B043B"/>
    <w:rsid w:val="4B1B26BD"/>
    <w:rsid w:val="59B63CDD"/>
    <w:rsid w:val="5BAD7361"/>
    <w:rsid w:val="73BD5AAB"/>
    <w:rsid w:val="7AD63D87"/>
    <w:rsid w:val="7D366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520" w:lineRule="exact"/>
      <w:ind w:firstLine="560"/>
    </w:pPr>
  </w:style>
  <w:style w:type="paragraph" w:styleId="3">
    <w:name w:val="Plain Text"/>
    <w:basedOn w:val="1"/>
    <w:qFormat/>
    <w:uiPriority w:val="0"/>
    <w:rPr>
      <w:rFonts w:ascii="宋体" w:hAnsi="Courier New" w:eastAsia="宋体" w:cs="Times New Roman"/>
    </w:r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qFormat/>
    <w:uiPriority w:val="0"/>
    <w:pPr>
      <w:spacing w:line="560" w:lineRule="exact"/>
      <w:ind w:firstLine="200"/>
      <w:textAlignment w:val="center"/>
    </w:p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段"/>
    <w:link w:val="1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1">
    <w:name w:val="Book Title"/>
    <w:basedOn w:val="9"/>
    <w:qFormat/>
    <w:uiPriority w:val="33"/>
    <w:rPr>
      <w:b/>
      <w:bCs/>
      <w:i/>
      <w:iCs/>
      <w:spacing w:val="5"/>
    </w:rPr>
  </w:style>
  <w:style w:type="character" w:customStyle="1" w:styleId="12">
    <w:name w:val="页眉 字符"/>
    <w:basedOn w:val="9"/>
    <w:link w:val="5"/>
    <w:uiPriority w:val="0"/>
    <w:rPr>
      <w:rFonts w:asciiTheme="minorHAnsi" w:hAnsiTheme="minorHAnsi" w:eastAsiaTheme="minorEastAsia" w:cstheme="minorBidi"/>
      <w:kern w:val="2"/>
      <w:sz w:val="18"/>
      <w:szCs w:val="18"/>
    </w:rPr>
  </w:style>
  <w:style w:type="character" w:customStyle="1" w:styleId="13">
    <w:name w:val="页脚 字符"/>
    <w:basedOn w:val="9"/>
    <w:link w:val="4"/>
    <w:uiPriority w:val="99"/>
    <w:rPr>
      <w:rFonts w:asciiTheme="minorHAnsi" w:hAnsiTheme="minorHAnsi" w:eastAsiaTheme="minorEastAsia" w:cstheme="minorBidi"/>
      <w:kern w:val="2"/>
      <w:sz w:val="18"/>
      <w:szCs w:val="18"/>
    </w:rPr>
  </w:style>
  <w:style w:type="character" w:customStyle="1" w:styleId="14">
    <w:name w:val="段 Char"/>
    <w:link w:val="10"/>
    <w:uiPriority w:val="0"/>
    <w:rPr>
      <w:rFonts w:ascii="宋体"/>
      <w:sz w:val="21"/>
    </w:rPr>
  </w:style>
  <w:style w:type="paragraph" w:styleId="15">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344</Words>
  <Characters>1961</Characters>
  <Lines>16</Lines>
  <Paragraphs>4</Paragraphs>
  <TotalTime>4</TotalTime>
  <ScaleCrop>false</ScaleCrop>
  <LinksUpToDate>false</LinksUpToDate>
  <CharactersWithSpaces>2301</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2024-07-20T15:47:00Z</dcterms:created>
  <dc:creator>sun'yi'ying</dc:creator>
  <cp:lastModifiedBy>小松1406293082</cp:lastModifiedBy>
  <cp:lastPrinted>2024-07-10T18:47:00Z</cp:lastPrinted>
  <dcterms:modified xsi:type="dcterms:W3CDTF">2024-08-13T19:50:05Z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453CC818B288405FB414BDEA111313AD_13</vt:lpwstr>
  </property>
</Properties>
</file>